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3C0D8" w14:textId="2C4A6C0D" w:rsidR="00066EFB" w:rsidRDefault="007812EC" w:rsidP="00066EFB">
      <w:pPr>
        <w:pStyle w:val="Heading4"/>
        <w:ind w:left="720"/>
        <w:rPr>
          <w:rFonts w:eastAsia="Times New Roman"/>
        </w:rPr>
      </w:pPr>
      <w:r>
        <w:rPr>
          <w:rStyle w:val="Strong"/>
          <w:rFonts w:eastAsia="Times New Roman"/>
          <w:b/>
          <w:bCs/>
        </w:rPr>
        <w:t xml:space="preserve">Saving </w:t>
      </w:r>
      <w:bookmarkStart w:id="0" w:name="_GoBack"/>
      <w:bookmarkEnd w:id="0"/>
      <w:r w:rsidR="00066EFB">
        <w:rPr>
          <w:rStyle w:val="Strong"/>
          <w:rFonts w:eastAsia="Times New Roman"/>
          <w:b/>
          <w:bCs/>
        </w:rPr>
        <w:t>Course Standards</w:t>
      </w:r>
    </w:p>
    <w:tbl>
      <w:tblPr>
        <w:tblStyle w:val="TableGrid"/>
        <w:tblW w:w="4863" w:type="pct"/>
        <w:tblLook w:val="04A0" w:firstRow="1" w:lastRow="0" w:firstColumn="1" w:lastColumn="0" w:noHBand="0" w:noVBand="1"/>
      </w:tblPr>
      <w:tblGrid>
        <w:gridCol w:w="2227"/>
        <w:gridCol w:w="6386"/>
      </w:tblGrid>
      <w:tr w:rsidR="00266BC5" w14:paraId="221A9261" w14:textId="77777777" w:rsidTr="003C109A">
        <w:trPr>
          <w:trHeight w:val="90"/>
        </w:trPr>
        <w:tc>
          <w:tcPr>
            <w:tcW w:w="1293" w:type="pct"/>
            <w:hideMark/>
          </w:tcPr>
          <w:p w14:paraId="062A02F4" w14:textId="77777777" w:rsidR="00066EFB" w:rsidRDefault="00066EFB" w:rsidP="00612C1D">
            <w:pPr>
              <w:rPr>
                <w:rFonts w:eastAsia="Times New Roman"/>
              </w:rPr>
            </w:pPr>
            <w:r>
              <w:rPr>
                <w:rStyle w:val="Strong"/>
                <w:rFonts w:eastAsia="Times New Roman"/>
              </w:rPr>
              <w:t>Standard</w:t>
            </w:r>
          </w:p>
        </w:tc>
        <w:tc>
          <w:tcPr>
            <w:tcW w:w="3707"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1A06B604" w14:textId="77777777" w:rsidTr="003C109A">
        <w:tc>
          <w:tcPr>
            <w:tcW w:w="1293" w:type="pct"/>
            <w:hideMark/>
          </w:tcPr>
          <w:p w14:paraId="343789D5" w14:textId="77777777" w:rsidR="00881487" w:rsidRDefault="007812EC" w:rsidP="00881487">
            <w:pPr>
              <w:rPr>
                <w:rFonts w:eastAsia="Times New Roman"/>
              </w:rPr>
            </w:pPr>
            <w:hyperlink r:id="rId7" w:history="1">
              <w:r w:rsidR="00066EFB">
                <w:rPr>
                  <w:rStyle w:val="Hyperlink"/>
                  <w:rFonts w:eastAsia="Times New Roman"/>
                </w:rPr>
                <w:t>SS.912.FL.3.1:</w:t>
              </w:r>
            </w:hyperlink>
            <w:r w:rsidR="00881487">
              <w:rPr>
                <w:rFonts w:eastAsia="Times New Roman"/>
              </w:rPr>
              <w:t xml:space="preserve"> Discuss the reasons why some people have a tendency to be impatient and choose immediate spending over saving for the future.</w:t>
            </w:r>
          </w:p>
          <w:p w14:paraId="51AF92D5" w14:textId="77777777" w:rsidR="00066EFB" w:rsidRDefault="00066EFB" w:rsidP="00612C1D">
            <w:pPr>
              <w:rPr>
                <w:rFonts w:eastAsia="Times New Roman"/>
              </w:rPr>
            </w:pPr>
          </w:p>
        </w:tc>
        <w:tc>
          <w:tcPr>
            <w:tcW w:w="3707" w:type="pct"/>
          </w:tcPr>
          <w:p w14:paraId="57A0E924" w14:textId="77777777" w:rsidR="00A15B2D" w:rsidRDefault="00A15B2D" w:rsidP="00A15B2D">
            <w:pPr>
              <w:rPr>
                <w:rFonts w:eastAsia="Times New Roman"/>
              </w:rPr>
            </w:pPr>
            <w:r>
              <w:rPr>
                <w:rFonts w:eastAsia="Times New Roman"/>
              </w:rPr>
              <w:t xml:space="preserve">Making Personal Financial Decisions: Lesson 6A </w:t>
            </w:r>
            <w:hyperlink r:id="rId8" w:history="1">
              <w:r>
                <w:rPr>
                  <w:rStyle w:val="Hyperlink"/>
                  <w:rFonts w:eastAsia="Times New Roman"/>
                </w:rPr>
                <w:t>https://www.stlouisfed.org/education/making-personal-finance-decisions-curriculum-unit</w:t>
              </w:r>
            </w:hyperlink>
          </w:p>
          <w:p w14:paraId="531CFC45" w14:textId="77777777" w:rsidR="00066EFB" w:rsidRDefault="00066EFB" w:rsidP="00612C1D">
            <w:pPr>
              <w:rPr>
                <w:rFonts w:eastAsia="Times New Roman"/>
              </w:rPr>
            </w:pPr>
          </w:p>
        </w:tc>
      </w:tr>
      <w:tr w:rsidR="00266BC5" w14:paraId="790DCC8F" w14:textId="77777777" w:rsidTr="003C109A">
        <w:tc>
          <w:tcPr>
            <w:tcW w:w="1293" w:type="pct"/>
            <w:hideMark/>
          </w:tcPr>
          <w:p w14:paraId="0E816DDB" w14:textId="77777777" w:rsidR="00881487" w:rsidRDefault="007812EC" w:rsidP="00881487">
            <w:pPr>
              <w:rPr>
                <w:rFonts w:eastAsia="Times New Roman"/>
              </w:rPr>
            </w:pPr>
            <w:hyperlink r:id="rId9" w:history="1">
              <w:r w:rsidR="00066EFB">
                <w:rPr>
                  <w:rStyle w:val="Hyperlink"/>
                  <w:rFonts w:eastAsia="Times New Roman"/>
                </w:rPr>
                <w:t>SS.912.FL.3.2:</w:t>
              </w:r>
            </w:hyperlink>
            <w:r w:rsidR="00881487">
              <w:rPr>
                <w:rFonts w:eastAsia="Times New Roman"/>
              </w:rPr>
              <w:t xml:space="preserve"> Examine the ideas that inflation reduces the value of money, including savings, that the real interest rate expresses the rate of return on savings, taking into account the effect of inflation and that the real interest rate is calculated as the nominal interest rate minus the rate of inflation.</w:t>
            </w:r>
          </w:p>
          <w:p w14:paraId="16601918" w14:textId="77777777" w:rsidR="00066EFB" w:rsidRDefault="00066EFB" w:rsidP="00612C1D">
            <w:pPr>
              <w:rPr>
                <w:rFonts w:eastAsia="Times New Roman"/>
              </w:rPr>
            </w:pPr>
          </w:p>
        </w:tc>
        <w:tc>
          <w:tcPr>
            <w:tcW w:w="3707" w:type="pct"/>
          </w:tcPr>
          <w:p w14:paraId="7FAF5979" w14:textId="77777777" w:rsidR="004211E1" w:rsidRDefault="004211E1" w:rsidP="004211E1">
            <w:pPr>
              <w:rPr>
                <w:rFonts w:eastAsia="Times New Roman"/>
              </w:rPr>
            </w:pPr>
            <w:r>
              <w:rPr>
                <w:rFonts w:eastAsia="Times New Roman"/>
              </w:rPr>
              <w:t xml:space="preserve">Getting Real About Interest Rates – Podcast </w:t>
            </w:r>
            <w:hyperlink r:id="rId10" w:history="1">
              <w:r>
                <w:rPr>
                  <w:rStyle w:val="Hyperlink"/>
                  <w:rFonts w:eastAsia="Times New Roman"/>
                </w:rPr>
                <w:t>https://www.stlouisfed.org/education/economic-lowdown-podcast-series/episode-14-getting-real-about-interest-rates</w:t>
              </w:r>
            </w:hyperlink>
          </w:p>
          <w:p w14:paraId="05087A29" w14:textId="77777777" w:rsidR="00066EFB" w:rsidRDefault="00066EFB" w:rsidP="00612C1D">
            <w:pPr>
              <w:rPr>
                <w:rFonts w:eastAsia="Times New Roman"/>
              </w:rPr>
            </w:pPr>
          </w:p>
          <w:p w14:paraId="31432C78" w14:textId="77777777" w:rsidR="004211E1" w:rsidRDefault="004211E1" w:rsidP="00612C1D">
            <w:pPr>
              <w:rPr>
                <w:rFonts w:eastAsia="Times New Roman"/>
              </w:rPr>
            </w:pPr>
          </w:p>
        </w:tc>
      </w:tr>
      <w:tr w:rsidR="00266BC5" w14:paraId="44D031B6" w14:textId="77777777" w:rsidTr="003C109A">
        <w:tc>
          <w:tcPr>
            <w:tcW w:w="1293" w:type="pct"/>
            <w:hideMark/>
          </w:tcPr>
          <w:p w14:paraId="216D8968" w14:textId="77777777" w:rsidR="00881487" w:rsidRDefault="007812EC" w:rsidP="00881487">
            <w:pPr>
              <w:rPr>
                <w:rFonts w:eastAsia="Times New Roman"/>
              </w:rPr>
            </w:pPr>
            <w:hyperlink r:id="rId11" w:history="1">
              <w:r w:rsidR="00066EFB">
                <w:rPr>
                  <w:rStyle w:val="Hyperlink"/>
                  <w:rFonts w:eastAsia="Times New Roman"/>
                </w:rPr>
                <w:t>SS.912.FL.3.3:</w:t>
              </w:r>
            </w:hyperlink>
            <w:r w:rsidR="00881487">
              <w:rPr>
                <w:rFonts w:eastAsia="Times New Roman"/>
              </w:rPr>
              <w:t xml:space="preserve"> Compare the difference between the nominal interest rate which tells savers how the dollar value of their savings or investments will grow, and the real interest rate which tells savers how the purchasing power of their savings or investments will grow.</w:t>
            </w:r>
          </w:p>
          <w:p w14:paraId="023D0D36" w14:textId="77777777" w:rsidR="00066EFB" w:rsidRDefault="00066EFB" w:rsidP="00612C1D">
            <w:pPr>
              <w:rPr>
                <w:rFonts w:eastAsia="Times New Roman"/>
              </w:rPr>
            </w:pPr>
          </w:p>
        </w:tc>
        <w:tc>
          <w:tcPr>
            <w:tcW w:w="3707" w:type="pct"/>
          </w:tcPr>
          <w:p w14:paraId="7B308D75" w14:textId="77777777" w:rsidR="004211E1" w:rsidRDefault="004211E1" w:rsidP="004211E1">
            <w:pPr>
              <w:rPr>
                <w:rFonts w:eastAsia="Times New Roman"/>
              </w:rPr>
            </w:pPr>
            <w:r>
              <w:rPr>
                <w:rFonts w:eastAsia="Times New Roman"/>
              </w:rPr>
              <w:t xml:space="preserve">Getting Real About Interest Rates – Podcast </w:t>
            </w:r>
            <w:hyperlink r:id="rId12" w:history="1">
              <w:r>
                <w:rPr>
                  <w:rStyle w:val="Hyperlink"/>
                  <w:rFonts w:eastAsia="Times New Roman"/>
                </w:rPr>
                <w:t>https://www.stlouisfed.org/education/economic-lowdown-podcast-series/episode-14-getting-real-about-interest-rates</w:t>
              </w:r>
            </w:hyperlink>
          </w:p>
          <w:p w14:paraId="10AFAE3B" w14:textId="77777777" w:rsidR="00066EFB" w:rsidRDefault="00066EFB" w:rsidP="00612C1D">
            <w:pPr>
              <w:rPr>
                <w:rFonts w:eastAsia="Times New Roman"/>
              </w:rPr>
            </w:pPr>
          </w:p>
          <w:p w14:paraId="3EBBC70E" w14:textId="77777777" w:rsidR="00963491" w:rsidRDefault="00963491" w:rsidP="00612C1D">
            <w:pPr>
              <w:rPr>
                <w:rFonts w:eastAsia="Times New Roman"/>
              </w:rPr>
            </w:pPr>
          </w:p>
        </w:tc>
      </w:tr>
      <w:tr w:rsidR="00266BC5" w14:paraId="4570E285" w14:textId="77777777" w:rsidTr="003C109A">
        <w:tc>
          <w:tcPr>
            <w:tcW w:w="1293" w:type="pct"/>
            <w:hideMark/>
          </w:tcPr>
          <w:p w14:paraId="020FF3DB" w14:textId="77777777" w:rsidR="00881487" w:rsidRDefault="007812EC" w:rsidP="00881487">
            <w:pPr>
              <w:rPr>
                <w:rFonts w:eastAsia="Times New Roman"/>
              </w:rPr>
            </w:pPr>
            <w:hyperlink r:id="rId13" w:history="1">
              <w:r w:rsidR="00066EFB">
                <w:rPr>
                  <w:rStyle w:val="Hyperlink"/>
                  <w:rFonts w:eastAsia="Times New Roman"/>
                </w:rPr>
                <w:t>SS.912.FL.3.4:</w:t>
              </w:r>
            </w:hyperlink>
            <w:r w:rsidR="00881487">
              <w:rPr>
                <w:rFonts w:eastAsia="Times New Roman"/>
              </w:rPr>
              <w:t xml:space="preserve"> Describe ways that money received (or paid) in the future can be compared to money held today by discounting the future value based on the rate of interest.</w:t>
            </w:r>
          </w:p>
          <w:p w14:paraId="390AB8C7" w14:textId="77777777" w:rsidR="00066EFB" w:rsidRDefault="00066EFB" w:rsidP="00612C1D">
            <w:pPr>
              <w:rPr>
                <w:rFonts w:eastAsia="Times New Roman"/>
              </w:rPr>
            </w:pPr>
          </w:p>
        </w:tc>
        <w:tc>
          <w:tcPr>
            <w:tcW w:w="3707" w:type="pct"/>
          </w:tcPr>
          <w:p w14:paraId="6B5F882E" w14:textId="77777777" w:rsidR="00963491" w:rsidRDefault="00963491" w:rsidP="00963491">
            <w:pPr>
              <w:rPr>
                <w:rFonts w:eastAsia="Times New Roman"/>
              </w:rPr>
            </w:pPr>
            <w:r>
              <w:rPr>
                <w:rFonts w:eastAsia="Times New Roman"/>
              </w:rPr>
              <w:t xml:space="preserve">Time Value of Money Online Course </w:t>
            </w:r>
            <w:hyperlink r:id="rId14" w:history="1">
              <w:r>
                <w:rPr>
                  <w:rStyle w:val="Hyperlink"/>
                  <w:rFonts w:eastAsia="Times New Roman"/>
                </w:rPr>
                <w:t>https://www.stlouisfed.org/education/time-value-of-money-online-course-for-teachers-and-students</w:t>
              </w:r>
            </w:hyperlink>
          </w:p>
          <w:p w14:paraId="4AF82E0B" w14:textId="77777777" w:rsidR="00066EFB" w:rsidRDefault="00066EFB" w:rsidP="00612C1D">
            <w:pPr>
              <w:rPr>
                <w:rFonts w:eastAsia="Times New Roman"/>
              </w:rPr>
            </w:pPr>
          </w:p>
          <w:p w14:paraId="2E0B340A" w14:textId="77777777" w:rsidR="00963491" w:rsidRDefault="00963491" w:rsidP="00963491">
            <w:pPr>
              <w:rPr>
                <w:rFonts w:eastAsia="Times New Roman"/>
              </w:rPr>
            </w:pPr>
            <w:r>
              <w:rPr>
                <w:rFonts w:eastAsia="Times New Roman"/>
              </w:rPr>
              <w:t xml:space="preserve">Present Value of Money Online Course </w:t>
            </w:r>
            <w:hyperlink r:id="rId15" w:history="1">
              <w:r>
                <w:rPr>
                  <w:rStyle w:val="Hyperlink"/>
                  <w:rFonts w:eastAsia="Times New Roman"/>
                </w:rPr>
                <w:t>https://www.stlouisfed.org/education/present-value-online-course-for-teachers-and-students</w:t>
              </w:r>
            </w:hyperlink>
          </w:p>
          <w:p w14:paraId="7ED82784" w14:textId="77777777" w:rsidR="00963491" w:rsidRDefault="00963491" w:rsidP="00612C1D">
            <w:pPr>
              <w:rPr>
                <w:rFonts w:eastAsia="Times New Roman"/>
              </w:rPr>
            </w:pPr>
          </w:p>
        </w:tc>
      </w:tr>
      <w:tr w:rsidR="00266BC5" w14:paraId="46BA42EA" w14:textId="77777777" w:rsidTr="003C109A">
        <w:tc>
          <w:tcPr>
            <w:tcW w:w="1293" w:type="pct"/>
            <w:hideMark/>
          </w:tcPr>
          <w:p w14:paraId="16AEF3FE" w14:textId="77777777" w:rsidR="00881487" w:rsidRDefault="007812EC" w:rsidP="00881487">
            <w:pPr>
              <w:rPr>
                <w:rFonts w:eastAsia="Times New Roman"/>
              </w:rPr>
            </w:pPr>
            <w:hyperlink r:id="rId16" w:history="1">
              <w:r w:rsidR="00066EFB">
                <w:rPr>
                  <w:rStyle w:val="Hyperlink"/>
                  <w:rFonts w:eastAsia="Times New Roman"/>
                </w:rPr>
                <w:t>SS.912.FL.3.5:</w:t>
              </w:r>
            </w:hyperlink>
            <w:r w:rsidR="00881487">
              <w:rPr>
                <w:rFonts w:eastAsia="Times New Roman"/>
              </w:rPr>
              <w:t xml:space="preserve"> Explain ways that government agencies supervise and regulate financial institutions to help protect the safety, soundness, and legal </w:t>
            </w:r>
            <w:r w:rsidR="00881487">
              <w:rPr>
                <w:rFonts w:eastAsia="Times New Roman"/>
              </w:rPr>
              <w:lastRenderedPageBreak/>
              <w:t>compliance of the nation’s banking and financial system.</w:t>
            </w:r>
          </w:p>
          <w:p w14:paraId="50D30B6C" w14:textId="77777777" w:rsidR="00066EFB" w:rsidRDefault="00066EFB" w:rsidP="00612C1D">
            <w:pPr>
              <w:rPr>
                <w:rFonts w:eastAsia="Times New Roman"/>
              </w:rPr>
            </w:pPr>
          </w:p>
        </w:tc>
        <w:tc>
          <w:tcPr>
            <w:tcW w:w="3707" w:type="pct"/>
          </w:tcPr>
          <w:p w14:paraId="4B6A1842" w14:textId="77777777" w:rsidR="007318D2" w:rsidRDefault="007318D2" w:rsidP="007318D2">
            <w:pPr>
              <w:rPr>
                <w:rFonts w:eastAsia="Times New Roman"/>
              </w:rPr>
            </w:pPr>
            <w:r>
              <w:rPr>
                <w:rFonts w:eastAsia="Times New Roman"/>
              </w:rPr>
              <w:lastRenderedPageBreak/>
              <w:t xml:space="preserve">Federal Reserve and You Chapter 6 </w:t>
            </w:r>
            <w:hyperlink r:id="rId17" w:history="1">
              <w:r>
                <w:rPr>
                  <w:rStyle w:val="Hyperlink"/>
                  <w:rFonts w:eastAsia="Times New Roman"/>
                </w:rPr>
                <w:t>https://www.philadelphiafed.org/education/federal-reserve-and-you/chapter-6</w:t>
              </w:r>
            </w:hyperlink>
          </w:p>
          <w:p w14:paraId="403176A4" w14:textId="77777777" w:rsidR="00066EFB" w:rsidRDefault="00066EFB" w:rsidP="00612C1D">
            <w:pPr>
              <w:rPr>
                <w:rFonts w:eastAsia="Times New Roman"/>
              </w:rPr>
            </w:pPr>
          </w:p>
          <w:p w14:paraId="44A1432D" w14:textId="77777777" w:rsidR="007318D2" w:rsidRDefault="007318D2" w:rsidP="007318D2">
            <w:pPr>
              <w:rPr>
                <w:rFonts w:eastAsia="Times New Roman"/>
              </w:rPr>
            </w:pPr>
            <w:r>
              <w:rPr>
                <w:rFonts w:eastAsia="Times New Roman"/>
              </w:rPr>
              <w:t xml:space="preserve">The Fed Explains Supervision and Regulation Video </w:t>
            </w:r>
            <w:hyperlink r:id="rId18" w:history="1">
              <w:r>
                <w:rPr>
                  <w:rStyle w:val="Hyperlink"/>
                  <w:rFonts w:eastAsia="Times New Roman"/>
                </w:rPr>
                <w:t>https://www.frbatlanta.org/about/fed-explained/2015/supervision-and-regulation.aspx</w:t>
              </w:r>
            </w:hyperlink>
          </w:p>
          <w:p w14:paraId="799AE7C4" w14:textId="77777777" w:rsidR="007318D2" w:rsidRDefault="007318D2" w:rsidP="00612C1D">
            <w:pPr>
              <w:rPr>
                <w:rFonts w:eastAsia="Times New Roman"/>
              </w:rPr>
            </w:pPr>
          </w:p>
        </w:tc>
      </w:tr>
      <w:tr w:rsidR="00266BC5" w14:paraId="36682264" w14:textId="77777777" w:rsidTr="003C109A">
        <w:tc>
          <w:tcPr>
            <w:tcW w:w="1293" w:type="pct"/>
            <w:hideMark/>
          </w:tcPr>
          <w:p w14:paraId="72A5D675" w14:textId="77777777" w:rsidR="00881487" w:rsidRDefault="007812EC" w:rsidP="00881487">
            <w:pPr>
              <w:rPr>
                <w:rFonts w:eastAsia="Times New Roman"/>
              </w:rPr>
            </w:pPr>
            <w:hyperlink r:id="rId19" w:history="1">
              <w:r w:rsidR="00066EFB">
                <w:rPr>
                  <w:rStyle w:val="Hyperlink"/>
                  <w:rFonts w:eastAsia="Times New Roman"/>
                </w:rPr>
                <w:t>SS.912.FL.3.6:</w:t>
              </w:r>
            </w:hyperlink>
            <w:r w:rsidR="00881487">
              <w:rPr>
                <w:rFonts w:eastAsia="Times New Roman"/>
              </w:rPr>
              <w:t xml:space="preserve"> Describe government policies that create incentives and disincentives for people to save.</w:t>
            </w:r>
          </w:p>
          <w:p w14:paraId="5F214355" w14:textId="77777777" w:rsidR="00066EFB" w:rsidRDefault="00066EFB" w:rsidP="00612C1D">
            <w:pPr>
              <w:rPr>
                <w:rFonts w:eastAsia="Times New Roman"/>
              </w:rPr>
            </w:pPr>
          </w:p>
        </w:tc>
        <w:tc>
          <w:tcPr>
            <w:tcW w:w="3707" w:type="pct"/>
          </w:tcPr>
          <w:p w14:paraId="1A210566" w14:textId="77777777" w:rsidR="007318D2" w:rsidRDefault="007318D2" w:rsidP="007318D2">
            <w:pPr>
              <w:rPr>
                <w:rFonts w:eastAsia="Times New Roman"/>
              </w:rPr>
            </w:pPr>
            <w:r>
              <w:rPr>
                <w:rFonts w:eastAsia="Times New Roman"/>
              </w:rPr>
              <w:t xml:space="preserve">No Frills Money Skills Way to Save Video – Episode 2 </w:t>
            </w:r>
            <w:hyperlink r:id="rId20" w:history="1">
              <w:r>
                <w:rPr>
                  <w:rStyle w:val="Hyperlink"/>
                  <w:rFonts w:eastAsia="Times New Roman"/>
                </w:rPr>
                <w:t>https://www.stlouisfed.org/education/no-frills-money-skills-video-series</w:t>
              </w:r>
            </w:hyperlink>
          </w:p>
          <w:p w14:paraId="7FD8D4A5" w14:textId="77777777" w:rsidR="00066EFB" w:rsidRDefault="00066EFB" w:rsidP="00612C1D">
            <w:pPr>
              <w:rPr>
                <w:rFonts w:eastAsia="Times New Roman"/>
              </w:rPr>
            </w:pPr>
          </w:p>
          <w:p w14:paraId="3C62BFCB" w14:textId="77777777" w:rsidR="0006277F" w:rsidRDefault="0006277F" w:rsidP="0006277F">
            <w:pPr>
              <w:rPr>
                <w:rFonts w:eastAsia="Times New Roman"/>
              </w:rPr>
            </w:pPr>
            <w:r>
              <w:rPr>
                <w:rFonts w:eastAsia="Times New Roman"/>
              </w:rPr>
              <w:t xml:space="preserve">Building Wealth Chapter 3 Save and Invest </w:t>
            </w:r>
            <w:hyperlink r:id="rId21" w:history="1">
              <w:r>
                <w:rPr>
                  <w:rStyle w:val="Hyperlink"/>
                  <w:rFonts w:eastAsia="Times New Roman"/>
                </w:rPr>
                <w:t>https://www.dallasfed.org/~/media/microsites/cd/wealth/online/ch3.html</w:t>
              </w:r>
            </w:hyperlink>
          </w:p>
          <w:p w14:paraId="3364A058" w14:textId="77777777" w:rsidR="0006277F" w:rsidRDefault="0006277F" w:rsidP="00612C1D">
            <w:pPr>
              <w:rPr>
                <w:rFonts w:eastAsia="Times New Roman"/>
              </w:rPr>
            </w:pPr>
          </w:p>
        </w:tc>
      </w:tr>
      <w:tr w:rsidR="00266BC5" w14:paraId="6D5D7029" w14:textId="77777777" w:rsidTr="003C109A">
        <w:tc>
          <w:tcPr>
            <w:tcW w:w="1293" w:type="pct"/>
            <w:hideMark/>
          </w:tcPr>
          <w:p w14:paraId="53FC28AC" w14:textId="77777777" w:rsidR="00881487" w:rsidRDefault="007812EC" w:rsidP="00881487">
            <w:pPr>
              <w:rPr>
                <w:rFonts w:eastAsia="Times New Roman"/>
              </w:rPr>
            </w:pPr>
            <w:hyperlink r:id="rId22" w:history="1">
              <w:r w:rsidR="00066EFB">
                <w:rPr>
                  <w:rStyle w:val="Hyperlink"/>
                  <w:rFonts w:eastAsia="Times New Roman"/>
                </w:rPr>
                <w:t>SS.912.FL.3.7:</w:t>
              </w:r>
            </w:hyperlink>
            <w:r w:rsidR="00881487">
              <w:rPr>
                <w:rFonts w:eastAsia="Times New Roman"/>
              </w:rPr>
              <w:t xml:space="preserve"> Explain how employer benefit programs create incentives and disincentives to save and how an employee’s decision to save can depend on how the alternatives are presented by the employer.</w:t>
            </w:r>
          </w:p>
          <w:p w14:paraId="0BB1403B" w14:textId="77777777" w:rsidR="00066EFB" w:rsidRDefault="00066EFB" w:rsidP="00612C1D">
            <w:pPr>
              <w:rPr>
                <w:rFonts w:eastAsia="Times New Roman"/>
              </w:rPr>
            </w:pPr>
          </w:p>
        </w:tc>
        <w:tc>
          <w:tcPr>
            <w:tcW w:w="3707" w:type="pct"/>
          </w:tcPr>
          <w:p w14:paraId="29F9C092" w14:textId="77777777" w:rsidR="00066EFB" w:rsidRDefault="00066EFB" w:rsidP="00612C1D">
            <w:pPr>
              <w:rPr>
                <w:rFonts w:eastAsia="Times New Roman"/>
              </w:rPr>
            </w:pPr>
          </w:p>
        </w:tc>
      </w:tr>
    </w:tbl>
    <w:p w14:paraId="2D589046" w14:textId="77777777" w:rsidR="00984CC1" w:rsidRDefault="00984CC1" w:rsidP="00612C1D"/>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B"/>
    <w:rsid w:val="0000444B"/>
    <w:rsid w:val="00004D12"/>
    <w:rsid w:val="00051BB2"/>
    <w:rsid w:val="0006277F"/>
    <w:rsid w:val="00066EFB"/>
    <w:rsid w:val="000A6F9E"/>
    <w:rsid w:val="000D3F0B"/>
    <w:rsid w:val="000E6F63"/>
    <w:rsid w:val="001155C8"/>
    <w:rsid w:val="0014164A"/>
    <w:rsid w:val="00173101"/>
    <w:rsid w:val="00177169"/>
    <w:rsid w:val="001C7C12"/>
    <w:rsid w:val="00232803"/>
    <w:rsid w:val="00266BC5"/>
    <w:rsid w:val="00296875"/>
    <w:rsid w:val="002C3E96"/>
    <w:rsid w:val="002C77A9"/>
    <w:rsid w:val="0031519D"/>
    <w:rsid w:val="003703E3"/>
    <w:rsid w:val="003B76C0"/>
    <w:rsid w:val="003C109A"/>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7A04"/>
    <w:rsid w:val="007812EC"/>
    <w:rsid w:val="007F137B"/>
    <w:rsid w:val="00881487"/>
    <w:rsid w:val="008B4CA7"/>
    <w:rsid w:val="008B6796"/>
    <w:rsid w:val="008E18D5"/>
    <w:rsid w:val="00963491"/>
    <w:rsid w:val="00965D04"/>
    <w:rsid w:val="009711A6"/>
    <w:rsid w:val="00984CC1"/>
    <w:rsid w:val="009A160B"/>
    <w:rsid w:val="009A75AE"/>
    <w:rsid w:val="00A15B2D"/>
    <w:rsid w:val="00BB0C17"/>
    <w:rsid w:val="00BE253E"/>
    <w:rsid w:val="00CB2253"/>
    <w:rsid w:val="00D071AF"/>
    <w:rsid w:val="00D126DC"/>
    <w:rsid w:val="00D418E3"/>
    <w:rsid w:val="00D55765"/>
    <w:rsid w:val="00D614B4"/>
    <w:rsid w:val="00D72BED"/>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C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palms.org/Public/PreviewStandard/Preview/8567" TargetMode="External"/><Relationship Id="rId20" Type="http://schemas.openxmlformats.org/officeDocument/2006/relationships/hyperlink" Target="https://www.stlouisfed.org/education/no-frills-money-skills-video-series" TargetMode="External"/><Relationship Id="rId21" Type="http://schemas.openxmlformats.org/officeDocument/2006/relationships/hyperlink" Target="https://www.dallasfed.org/~/media/microsites/cd/wealth/online/ch3.html" TargetMode="External"/><Relationship Id="rId22" Type="http://schemas.openxmlformats.org/officeDocument/2006/relationships/hyperlink" Target="https://www.cpalms.org/Public/PreviewStandard/Preview/8572"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tlouisfed.org/education/economic-lowdown-podcast-series/episode-14-getting-real-about-interest-rates" TargetMode="External"/><Relationship Id="rId11" Type="http://schemas.openxmlformats.org/officeDocument/2006/relationships/hyperlink" Target="https://www.cpalms.org/Public/PreviewStandard/Preview/8568" TargetMode="External"/><Relationship Id="rId12" Type="http://schemas.openxmlformats.org/officeDocument/2006/relationships/hyperlink" Target="https://www.stlouisfed.org/education/economic-lowdown-podcast-series/episode-14-getting-real-about-interest-rates" TargetMode="External"/><Relationship Id="rId13" Type="http://schemas.openxmlformats.org/officeDocument/2006/relationships/hyperlink" Target="https://www.cpalms.org/Public/PreviewStandard/Preview/8569" TargetMode="External"/><Relationship Id="rId14" Type="http://schemas.openxmlformats.org/officeDocument/2006/relationships/hyperlink" Target="https://www.stlouisfed.org/education/time-value-of-money-online-course-for-teachers-and-students" TargetMode="External"/><Relationship Id="rId15" Type="http://schemas.openxmlformats.org/officeDocument/2006/relationships/hyperlink" Target="https://www.stlouisfed.org/education/present-value-online-course-for-teachers-and-students" TargetMode="External"/><Relationship Id="rId16" Type="http://schemas.openxmlformats.org/officeDocument/2006/relationships/hyperlink" Target="https://www.cpalms.org/Public/PreviewStandard/Preview/8570" TargetMode="External"/><Relationship Id="rId17" Type="http://schemas.openxmlformats.org/officeDocument/2006/relationships/hyperlink" Target="https://www.philadelphiafed.org/education/federal-reserve-and-you/chapter-6" TargetMode="External"/><Relationship Id="rId18" Type="http://schemas.openxmlformats.org/officeDocument/2006/relationships/hyperlink" Target="https://www.frbatlanta.org/about/fed-explained/2015/supervision-and-regulation.aspx" TargetMode="External"/><Relationship Id="rId19" Type="http://schemas.openxmlformats.org/officeDocument/2006/relationships/hyperlink" Target="https://www.cpalms.org/Public/PreviewStandard/Preview/857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palms.org/Public/PreviewStandard/Preview/8566" TargetMode="External"/><Relationship Id="rId8" Type="http://schemas.openxmlformats.org/officeDocument/2006/relationships/hyperlink" Target="https://www.stlouisfed.org/education/making-personal-finance-decisions-curriculum-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04A118-3EA2-7040-8D79-F2587DF7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2019-08-28T18:58:00Z</cp:lastPrinted>
  <dcterms:created xsi:type="dcterms:W3CDTF">2019-11-16T19:39:00Z</dcterms:created>
  <dcterms:modified xsi:type="dcterms:W3CDTF">2019-11-16T19:39:00Z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