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55BE9" w14:textId="30FF44D2" w:rsidR="002A1073" w:rsidRDefault="001E2FDB" w:rsidP="00075E29">
      <w:pPr>
        <w:rPr>
          <w:b/>
          <w:sz w:val="36"/>
          <w:szCs w:val="36"/>
        </w:rPr>
      </w:pPr>
      <w:r>
        <w:rPr>
          <w:b/>
          <w:sz w:val="26"/>
          <w:szCs w:val="26"/>
        </w:rPr>
        <w:t>Student Guide:</w:t>
      </w:r>
      <w:r>
        <w:rPr>
          <w:b/>
          <w:sz w:val="28"/>
          <w:szCs w:val="28"/>
        </w:rPr>
        <w:t xml:space="preserve"> </w:t>
      </w:r>
      <w:r w:rsidR="00075E29">
        <w:rPr>
          <w:b/>
          <w:sz w:val="36"/>
          <w:szCs w:val="36"/>
        </w:rPr>
        <w:t>How do you choose a good auto insurance company?</w:t>
      </w:r>
    </w:p>
    <w:p w14:paraId="2213BDFB" w14:textId="77777777" w:rsidR="002A1073" w:rsidRDefault="001E2FDB">
      <w:pPr>
        <w:ind w:left="5760"/>
      </w:pPr>
      <w:r>
        <w:t xml:space="preserve">    &lt;Blog Post Date: September 4, 2019&gt;</w:t>
      </w:r>
      <w:r>
        <w:tab/>
      </w:r>
    </w:p>
    <w:p w14:paraId="6A6C12D5" w14:textId="77777777" w:rsidR="002A1073" w:rsidRDefault="001E2FDB">
      <w:pPr>
        <w:sectPr w:rsidR="002A1073">
          <w:headerReference w:type="default" r:id="rId8"/>
          <w:footerReference w:type="default" r:id="rId9"/>
          <w:type w:val="continuous"/>
          <w:pgSz w:w="12240" w:h="15840"/>
          <w:pgMar w:top="1008" w:right="1080" w:bottom="1008" w:left="1080" w:header="720" w:footer="720" w:gutter="0"/>
          <w:cols w:space="720"/>
        </w:sectPr>
      </w:pPr>
      <w:r>
        <w:t>A Lesson in:</w:t>
      </w:r>
    </w:p>
    <w:p w14:paraId="4F1B6E9D" w14:textId="77777777" w:rsidR="002A1073" w:rsidRDefault="001E2FDB">
      <w:pPr>
        <w:numPr>
          <w:ilvl w:val="0"/>
          <w:numId w:val="2"/>
        </w:numPr>
      </w:pPr>
      <w:r>
        <w:lastRenderedPageBreak/>
        <w:t>Consumer Risk</w:t>
      </w:r>
    </w:p>
    <w:p w14:paraId="6A6F52D3" w14:textId="77777777" w:rsidR="002A1073" w:rsidRDefault="001E2FDB">
      <w:pPr>
        <w:numPr>
          <w:ilvl w:val="0"/>
          <w:numId w:val="2"/>
        </w:numPr>
      </w:pPr>
      <w:r>
        <w:t>Preference to Accept Risk</w:t>
      </w:r>
    </w:p>
    <w:p w14:paraId="4BC96808" w14:textId="77777777" w:rsidR="002A1073" w:rsidRDefault="001E2FDB">
      <w:pPr>
        <w:numPr>
          <w:ilvl w:val="0"/>
          <w:numId w:val="2"/>
        </w:numPr>
        <w:sectPr w:rsidR="002A1073">
          <w:type w:val="continuous"/>
          <w:pgSz w:w="12240" w:h="15840"/>
          <w:pgMar w:top="1008" w:right="1080" w:bottom="1008" w:left="1080" w:header="720" w:footer="720" w:gutter="0"/>
          <w:cols w:num="2" w:space="720" w:equalWidth="0">
            <w:col w:w="4680" w:space="720"/>
            <w:col w:w="4680" w:space="0"/>
          </w:cols>
        </w:sectPr>
      </w:pPr>
      <w:r>
        <w:lastRenderedPageBreak/>
        <w:t>Insurance</w:t>
      </w:r>
    </w:p>
    <w:p w14:paraId="08A8CCA8" w14:textId="77777777" w:rsidR="002A1073" w:rsidRDefault="002A1073">
      <w:pPr>
        <w:rPr>
          <w:sz w:val="23"/>
          <w:szCs w:val="23"/>
          <w:highlight w:val="white"/>
        </w:rPr>
        <w:sectPr w:rsidR="002A1073">
          <w:type w:val="continuous"/>
          <w:pgSz w:w="12240" w:h="15840"/>
          <w:pgMar w:top="1008" w:right="1080" w:bottom="1008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4EC00306" w14:textId="77777777" w:rsidR="002A1073" w:rsidRDefault="001E2FDB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lastRenderedPageBreak/>
        <w:t xml:space="preserve">Before the Reading: </w:t>
      </w:r>
    </w:p>
    <w:p w14:paraId="3D4C5CCB" w14:textId="77777777" w:rsidR="002A1073" w:rsidRDefault="002A1073">
      <w:pPr>
        <w:ind w:left="720"/>
        <w:rPr>
          <w:sz w:val="23"/>
          <w:szCs w:val="23"/>
          <w:highlight w:val="white"/>
        </w:rPr>
      </w:pPr>
    </w:p>
    <w:p w14:paraId="35909FFB" w14:textId="77E3AC57" w:rsidR="002A1073" w:rsidRDefault="001E2FDB">
      <w:pPr>
        <w:numPr>
          <w:ilvl w:val="0"/>
          <w:numId w:val="5"/>
        </w:numPr>
        <w:rPr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 xml:space="preserve">Number crunch. </w:t>
      </w:r>
      <w:r w:rsidR="00077E2F">
        <w:rPr>
          <w:sz w:val="23"/>
          <w:szCs w:val="23"/>
          <w:highlight w:val="white"/>
        </w:rPr>
        <w:t xml:space="preserve">Did you know that auto insurance premiums vary for different groupw of people? </w:t>
      </w:r>
      <w:r>
        <w:rPr>
          <w:sz w:val="23"/>
          <w:szCs w:val="23"/>
          <w:highlight w:val="white"/>
        </w:rPr>
        <w:t xml:space="preserve">Insurance companies </w:t>
      </w:r>
      <w:r w:rsidR="00077E2F">
        <w:rPr>
          <w:sz w:val="23"/>
          <w:szCs w:val="23"/>
          <w:highlight w:val="white"/>
        </w:rPr>
        <w:t>rely on data and statistics to</w:t>
      </w:r>
      <w:r>
        <w:rPr>
          <w:sz w:val="23"/>
          <w:szCs w:val="23"/>
          <w:highlight w:val="white"/>
        </w:rPr>
        <w:t xml:space="preserve"> decide how risky you are based on traits such as your education, zip code, gender, home ownership, in some cases your medical history and of course, your driving record. </w:t>
      </w:r>
      <w:r>
        <w:rPr>
          <w:i/>
          <w:sz w:val="23"/>
          <w:szCs w:val="23"/>
          <w:highlight w:val="white"/>
        </w:rPr>
        <w:t>Why do you think that these attributes are important to car insurance companies?</w:t>
      </w:r>
    </w:p>
    <w:tbl>
      <w:tblPr>
        <w:tblStyle w:val="affffc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6537C3D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2306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6B8A518D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34678D27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039EDF9F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00F5910F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67CAAC10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</w:tbl>
    <w:p w14:paraId="276024B6" w14:textId="77777777" w:rsidR="002A1073" w:rsidRDefault="002A1073">
      <w:pPr>
        <w:ind w:left="720"/>
        <w:rPr>
          <w:sz w:val="23"/>
          <w:szCs w:val="23"/>
          <w:highlight w:val="white"/>
        </w:rPr>
      </w:pPr>
    </w:p>
    <w:p w14:paraId="74578535" w14:textId="76D994F5" w:rsidR="00077E2F" w:rsidRDefault="00077E2F">
      <w:pPr>
        <w:numPr>
          <w:ilvl w:val="0"/>
          <w:numId w:val="5"/>
        </w:numPr>
        <w:rPr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 xml:space="preserve">Age and Gender. </w:t>
      </w:r>
      <w:r>
        <w:rPr>
          <w:sz w:val="23"/>
          <w:szCs w:val="23"/>
          <w:highlight w:val="white"/>
        </w:rPr>
        <w:t xml:space="preserve"> According to the </w:t>
      </w:r>
      <w:hyperlink r:id="rId10" w:history="1">
        <w:r w:rsidRPr="00077E2F">
          <w:rPr>
            <w:rStyle w:val="Hyperlink"/>
            <w:sz w:val="23"/>
            <w:szCs w:val="23"/>
            <w:highlight w:val="white"/>
          </w:rPr>
          <w:t>Insurance Information Institute</w:t>
        </w:r>
      </w:hyperlink>
      <w:r>
        <w:rPr>
          <w:sz w:val="23"/>
          <w:szCs w:val="23"/>
          <w:highlight w:val="white"/>
        </w:rPr>
        <w:t>,  Did you know that teen male drivers will more likely pay more for insurance than more experienced drivers? Why do you think insurance companies charge more for young male drivers?</w:t>
      </w:r>
    </w:p>
    <w:tbl>
      <w:tblPr>
        <w:tblStyle w:val="affffc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77E2F" w14:paraId="3C1ADC6E" w14:textId="77777777" w:rsidTr="00077E2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8786" w14:textId="77777777" w:rsidR="00077E2F" w:rsidRDefault="00077E2F" w:rsidP="0007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2FA2DA0D" w14:textId="77777777" w:rsidR="00077E2F" w:rsidRDefault="00077E2F" w:rsidP="0007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1593EB4F" w14:textId="77777777" w:rsidR="00077E2F" w:rsidRDefault="00077E2F" w:rsidP="0007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66B6ED38" w14:textId="77777777" w:rsidR="00077E2F" w:rsidRDefault="00077E2F" w:rsidP="0007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12B76E0A" w14:textId="77777777" w:rsidR="00077E2F" w:rsidRDefault="00077E2F" w:rsidP="0007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2205304E" w14:textId="77777777" w:rsidR="00077E2F" w:rsidRDefault="00077E2F" w:rsidP="0007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</w:tbl>
    <w:p w14:paraId="753BB74A" w14:textId="77777777" w:rsidR="00077E2F" w:rsidRPr="00077E2F" w:rsidRDefault="00077E2F" w:rsidP="00077E2F">
      <w:pPr>
        <w:ind w:left="720"/>
        <w:rPr>
          <w:sz w:val="23"/>
          <w:szCs w:val="23"/>
          <w:highlight w:val="white"/>
        </w:rPr>
      </w:pPr>
    </w:p>
    <w:p w14:paraId="2E6D104B" w14:textId="47E5E5FB" w:rsidR="002A1073" w:rsidRPr="00077E2F" w:rsidRDefault="001E2FDB" w:rsidP="00077E2F">
      <w:pPr>
        <w:numPr>
          <w:ilvl w:val="0"/>
          <w:numId w:val="5"/>
        </w:numPr>
        <w:rPr>
          <w:sz w:val="23"/>
          <w:szCs w:val="23"/>
          <w:highlight w:val="white"/>
        </w:rPr>
      </w:pPr>
      <w:r w:rsidRPr="00077E2F">
        <w:rPr>
          <w:b/>
          <w:sz w:val="23"/>
          <w:szCs w:val="23"/>
          <w:highlight w:val="white"/>
        </w:rPr>
        <w:t xml:space="preserve">Comparison </w:t>
      </w:r>
      <w:r w:rsidR="00077E2F" w:rsidRPr="00077E2F">
        <w:rPr>
          <w:sz w:val="23"/>
          <w:szCs w:val="23"/>
          <w:highlight w:val="white"/>
        </w:rPr>
        <w:t xml:space="preserve">Auto insurance companies </w:t>
      </w:r>
      <w:r w:rsidR="00077E2F">
        <w:rPr>
          <w:sz w:val="23"/>
          <w:szCs w:val="23"/>
          <w:highlight w:val="white"/>
        </w:rPr>
        <w:t>use data to make decisions about your rates. You should also use data to make decisions about the insurance company you choose.</w:t>
      </w:r>
      <w:r w:rsidR="00077E2F" w:rsidRPr="00077E2F">
        <w:rPr>
          <w:sz w:val="23"/>
          <w:szCs w:val="23"/>
          <w:highlight w:val="white"/>
        </w:rPr>
        <w:t xml:space="preserve"> </w:t>
      </w:r>
      <w:r w:rsidRPr="00077E2F">
        <w:rPr>
          <w:sz w:val="23"/>
          <w:szCs w:val="23"/>
          <w:highlight w:val="white"/>
        </w:rPr>
        <w:t xml:space="preserve">In fact, some of the best advice is to comparison shop when looking to buy insurance. </w:t>
      </w:r>
      <w:r w:rsidRPr="00077E2F">
        <w:rPr>
          <w:i/>
          <w:sz w:val="23"/>
          <w:szCs w:val="23"/>
          <w:highlight w:val="white"/>
        </w:rPr>
        <w:t>What are some features that you should look at to help narrow down your options when it comes to buying car insurance from an insurance agent?</w:t>
      </w:r>
    </w:p>
    <w:tbl>
      <w:tblPr>
        <w:tblStyle w:val="affffd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4E67E1A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CD3D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3"/>
                <w:szCs w:val="23"/>
                <w:highlight w:val="white"/>
              </w:rPr>
            </w:pPr>
          </w:p>
          <w:p w14:paraId="6ACC5547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3"/>
                <w:szCs w:val="23"/>
                <w:highlight w:val="white"/>
              </w:rPr>
            </w:pPr>
          </w:p>
          <w:p w14:paraId="3BF086DE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3"/>
                <w:szCs w:val="23"/>
                <w:highlight w:val="white"/>
              </w:rPr>
            </w:pPr>
          </w:p>
          <w:p w14:paraId="1572D914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3"/>
                <w:szCs w:val="23"/>
                <w:highlight w:val="white"/>
              </w:rPr>
            </w:pPr>
          </w:p>
          <w:p w14:paraId="71FE935A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3"/>
                <w:szCs w:val="23"/>
                <w:highlight w:val="white"/>
              </w:rPr>
            </w:pPr>
          </w:p>
        </w:tc>
      </w:tr>
    </w:tbl>
    <w:p w14:paraId="0248842F" w14:textId="77777777" w:rsidR="002A1073" w:rsidRDefault="002A1073">
      <w:pPr>
        <w:ind w:left="720"/>
        <w:rPr>
          <w:sz w:val="23"/>
          <w:szCs w:val="23"/>
          <w:highlight w:val="white"/>
        </w:rPr>
      </w:pPr>
    </w:p>
    <w:p w14:paraId="3303C19D" w14:textId="77777777" w:rsidR="002A1073" w:rsidRDefault="001E2FDB">
      <w:pPr>
        <w:numPr>
          <w:ilvl w:val="0"/>
          <w:numId w:val="5"/>
        </w:num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lastRenderedPageBreak/>
        <w:t>​</w:t>
      </w:r>
      <w:r>
        <w:rPr>
          <w:b/>
          <w:sz w:val="23"/>
          <w:szCs w:val="23"/>
          <w:highlight w:val="white"/>
        </w:rPr>
        <w:t xml:space="preserve">Investigate. </w:t>
      </w:r>
      <w:r>
        <w:rPr>
          <w:sz w:val="23"/>
          <w:szCs w:val="23"/>
          <w:highlight w:val="white"/>
        </w:rPr>
        <w:t xml:space="preserve">So, what should you look for in an insurance company? </w:t>
      </w:r>
      <w:r>
        <w:rPr>
          <w:i/>
          <w:sz w:val="23"/>
          <w:szCs w:val="23"/>
          <w:highlight w:val="white"/>
        </w:rPr>
        <w:t xml:space="preserve">Team up in a small group of three or four and brainstorm what important traits are necessary to look for in an insurance company. </w:t>
      </w:r>
    </w:p>
    <w:tbl>
      <w:tblPr>
        <w:tblStyle w:val="affffe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1913D3D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62E7" w14:textId="77777777" w:rsidR="002A1073" w:rsidRDefault="001E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Things to consider:</w:t>
            </w:r>
          </w:p>
          <w:p w14:paraId="2C0A119C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19525169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0609E46B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448C83FC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5DB02D57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4AC857CB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02DCE3E3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6F1F2679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</w:tbl>
    <w:p w14:paraId="28B2AE75" w14:textId="77777777" w:rsidR="002A1073" w:rsidRDefault="002A1073">
      <w:pPr>
        <w:ind w:left="720"/>
        <w:rPr>
          <w:sz w:val="23"/>
          <w:szCs w:val="23"/>
          <w:highlight w:val="white"/>
        </w:rPr>
      </w:pPr>
    </w:p>
    <w:p w14:paraId="3492EBE9" w14:textId="77777777" w:rsidR="002A1073" w:rsidRDefault="001E2FDB">
      <w:pPr>
        <w:numPr>
          <w:ilvl w:val="0"/>
          <w:numId w:val="5"/>
        </w:numPr>
        <w:rPr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 xml:space="preserve">Figure it out. </w:t>
      </w:r>
      <w:r>
        <w:rPr>
          <w:sz w:val="23"/>
          <w:szCs w:val="23"/>
          <w:highlight w:val="white"/>
        </w:rPr>
        <w:t xml:space="preserve">How can auto insurance help you? Use the internet to discover the value of insurance. </w:t>
      </w:r>
      <w:r>
        <w:rPr>
          <w:i/>
          <w:sz w:val="23"/>
          <w:szCs w:val="23"/>
          <w:highlight w:val="white"/>
        </w:rPr>
        <w:t xml:space="preserve">Use investopedia or another trusted website to complete the grid below. </w:t>
      </w:r>
      <w:hyperlink r:id="rId11">
        <w:r>
          <w:rPr>
            <w:color w:val="1155CC"/>
            <w:sz w:val="23"/>
            <w:szCs w:val="23"/>
            <w:highlight w:val="white"/>
            <w:u w:val="single"/>
          </w:rPr>
          <w:t>https://www.investopedia.com/terms/a/auto-insurance.asp</w:t>
        </w:r>
      </w:hyperlink>
      <w:r>
        <w:rPr>
          <w:sz w:val="23"/>
          <w:szCs w:val="23"/>
          <w:highlight w:val="white"/>
        </w:rPr>
        <w:t xml:space="preserve"> </w:t>
      </w:r>
    </w:p>
    <w:tbl>
      <w:tblPr>
        <w:tblStyle w:val="afffff0"/>
        <w:tblW w:w="934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2880"/>
        <w:gridCol w:w="3015"/>
      </w:tblGrid>
      <w:tr w:rsidR="002A1073" w14:paraId="64C57C3B" w14:textId="77777777">
        <w:trPr>
          <w:trHeight w:val="43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1EB1" w14:textId="77777777" w:rsidR="002A1073" w:rsidRDefault="001E2FDB">
            <w:pPr>
              <w:rPr>
                <w:b/>
                <w:sz w:val="23"/>
                <w:szCs w:val="23"/>
                <w:highlight w:val="white"/>
              </w:rPr>
            </w:pPr>
            <w:r>
              <w:rPr>
                <w:b/>
                <w:sz w:val="23"/>
                <w:szCs w:val="23"/>
                <w:highlight w:val="white"/>
              </w:rPr>
              <w:t>Explain:</w:t>
            </w:r>
          </w:p>
        </w:tc>
        <w:tc>
          <w:tcPr>
            <w:tcW w:w="5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25FF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  <w:tr w:rsidR="002A1073" w14:paraId="68F03578" w14:textId="77777777">
        <w:trPr>
          <w:trHeight w:val="43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C00C" w14:textId="77777777" w:rsidR="002A1073" w:rsidRDefault="001E2FDB">
            <w:pPr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Property coverage</w:t>
            </w:r>
          </w:p>
        </w:tc>
        <w:tc>
          <w:tcPr>
            <w:tcW w:w="5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5352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23E024CB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  <w:tr w:rsidR="002A1073" w14:paraId="13834C4E" w14:textId="77777777">
        <w:trPr>
          <w:trHeight w:val="43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1F7F" w14:textId="77777777" w:rsidR="002A1073" w:rsidRDefault="001E2FDB">
            <w:pPr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Liability coverage</w:t>
            </w:r>
          </w:p>
        </w:tc>
        <w:tc>
          <w:tcPr>
            <w:tcW w:w="5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4259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51CF29CC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  <w:tr w:rsidR="002A1073" w14:paraId="29070135" w14:textId="77777777">
        <w:trPr>
          <w:trHeight w:val="43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13F8" w14:textId="77777777" w:rsidR="002A1073" w:rsidRDefault="001E2FDB">
            <w:pPr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Medical coverage</w:t>
            </w:r>
          </w:p>
        </w:tc>
        <w:tc>
          <w:tcPr>
            <w:tcW w:w="5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DD73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1EC93BC7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  <w:tr w:rsidR="002A1073" w14:paraId="2AE90DC9" w14:textId="77777777">
        <w:trPr>
          <w:trHeight w:val="43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25C6" w14:textId="77777777" w:rsidR="002A1073" w:rsidRDefault="001E2FDB">
            <w:pPr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Deductible</w:t>
            </w:r>
          </w:p>
        </w:tc>
        <w:tc>
          <w:tcPr>
            <w:tcW w:w="5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D667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3064ED1C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  <w:tr w:rsidR="002A1073" w14:paraId="57472761" w14:textId="77777777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9DDA" w14:textId="77777777" w:rsidR="002A1073" w:rsidRDefault="001E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     Low deductible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9920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2DCC" w14:textId="77777777" w:rsidR="002A1073" w:rsidRDefault="001E2FDB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Advantage:</w:t>
            </w:r>
          </w:p>
          <w:p w14:paraId="59AAEEC2" w14:textId="77777777" w:rsidR="002A1073" w:rsidRDefault="002A1073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0D9667DD" w14:textId="77777777" w:rsidR="002A1073" w:rsidRDefault="001E2FDB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Disadvantage:</w:t>
            </w:r>
          </w:p>
          <w:p w14:paraId="5E1B4587" w14:textId="77777777" w:rsidR="002A1073" w:rsidRDefault="002A1073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  <w:tr w:rsidR="002A1073" w14:paraId="77B08967" w14:textId="77777777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9E2F" w14:textId="77777777" w:rsidR="002A1073" w:rsidRDefault="001E2FDB">
            <w:pPr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     High deductible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6B22" w14:textId="77777777" w:rsidR="002A1073" w:rsidRDefault="002A1073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CD12" w14:textId="77777777" w:rsidR="002A1073" w:rsidRDefault="001E2FDB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Advantage:</w:t>
            </w:r>
          </w:p>
          <w:p w14:paraId="6378FD95" w14:textId="77777777" w:rsidR="002A1073" w:rsidRDefault="002A1073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33A5395C" w14:textId="77777777" w:rsidR="002A1073" w:rsidRDefault="001E2FDB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Disadvantage:</w:t>
            </w:r>
          </w:p>
          <w:p w14:paraId="64965E67" w14:textId="77777777" w:rsidR="002A1073" w:rsidRDefault="002A1073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  <w:tr w:rsidR="002A1073" w14:paraId="04EEB741" w14:textId="77777777">
        <w:trPr>
          <w:trHeight w:val="43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3B83" w14:textId="77777777" w:rsidR="002A1073" w:rsidRDefault="001E2FDB">
            <w:pPr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Policy term</w:t>
            </w:r>
          </w:p>
        </w:tc>
        <w:tc>
          <w:tcPr>
            <w:tcW w:w="5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FD9D" w14:textId="77777777" w:rsidR="002A1073" w:rsidRDefault="002A1073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4DFD2E86" w14:textId="77777777" w:rsidR="002A1073" w:rsidRDefault="002A1073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  <w:tr w:rsidR="002A1073" w14:paraId="6F8C74AD" w14:textId="77777777">
        <w:trPr>
          <w:trHeight w:val="43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F3A8" w14:textId="77777777" w:rsidR="002A1073" w:rsidRDefault="001E2FDB">
            <w:pPr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Personal Injury Protection (PIP)</w:t>
            </w:r>
          </w:p>
        </w:tc>
        <w:tc>
          <w:tcPr>
            <w:tcW w:w="5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2F7" w14:textId="77777777" w:rsidR="002A1073" w:rsidRDefault="002A1073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6D83ACE3" w14:textId="77777777" w:rsidR="002A1073" w:rsidRDefault="002A1073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  <w:tr w:rsidR="002A1073" w14:paraId="79BD263A" w14:textId="77777777">
        <w:trPr>
          <w:trHeight w:val="43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068F" w14:textId="77777777" w:rsidR="002A1073" w:rsidRDefault="001E2FDB">
            <w:pPr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Uninsured Motorist Coverage</w:t>
            </w:r>
          </w:p>
        </w:tc>
        <w:tc>
          <w:tcPr>
            <w:tcW w:w="5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8394" w14:textId="77777777" w:rsidR="002A1073" w:rsidRDefault="002A1073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37F98056" w14:textId="77777777" w:rsidR="002A1073" w:rsidRDefault="002A1073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</w:tbl>
    <w:p w14:paraId="687067BE" w14:textId="77777777" w:rsidR="002A1073" w:rsidRDefault="002A1073">
      <w:pPr>
        <w:ind w:right="-180"/>
        <w:rPr>
          <w:b/>
          <w:sz w:val="23"/>
          <w:szCs w:val="23"/>
          <w:highlight w:val="white"/>
        </w:rPr>
      </w:pPr>
    </w:p>
    <w:p w14:paraId="3B48DAC9" w14:textId="77777777" w:rsidR="002A1073" w:rsidRDefault="001E2FDB">
      <w:pPr>
        <w:numPr>
          <w:ilvl w:val="0"/>
          <w:numId w:val="5"/>
        </w:numPr>
        <w:ind w:right="-180"/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lastRenderedPageBreak/>
        <w:t>Predict.</w:t>
      </w:r>
      <w:r>
        <w:rPr>
          <w:sz w:val="23"/>
          <w:szCs w:val="23"/>
          <w:highlight w:val="white"/>
        </w:rPr>
        <w:t xml:space="preserve"> </w:t>
      </w:r>
      <w:r>
        <w:rPr>
          <w:i/>
          <w:sz w:val="23"/>
          <w:szCs w:val="23"/>
          <w:highlight w:val="white"/>
        </w:rPr>
        <w:t>What is the most appropriate choice for you as a teen? What about your parents? Grandparents?</w:t>
      </w:r>
    </w:p>
    <w:tbl>
      <w:tblPr>
        <w:tblStyle w:val="afffff1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A1073" w14:paraId="1B53DD8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2709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7230" w14:textId="77777777" w:rsidR="002A1073" w:rsidRDefault="001E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How did you make these decisions about coverage?</w:t>
            </w:r>
          </w:p>
          <w:p w14:paraId="25258743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2BC2D76E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6CCF5260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68982EA6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31428739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604A6547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211C5140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5665D2C6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</w:tbl>
    <w:p w14:paraId="7B677270" w14:textId="77777777" w:rsidR="002A1073" w:rsidRDefault="002A1073">
      <w:pPr>
        <w:rPr>
          <w:sz w:val="23"/>
          <w:szCs w:val="23"/>
          <w:highlight w:val="white"/>
        </w:rPr>
      </w:pPr>
    </w:p>
    <w:p w14:paraId="4A9E3B6E" w14:textId="77777777" w:rsidR="002A1073" w:rsidRDefault="001E2FDB">
      <w:pPr>
        <w:numPr>
          <w:ilvl w:val="0"/>
          <w:numId w:val="5"/>
        </w:num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 xml:space="preserve">Report. </w:t>
      </w:r>
      <w:r>
        <w:rPr>
          <w:sz w:val="23"/>
          <w:szCs w:val="23"/>
          <w:highlight w:val="white"/>
        </w:rPr>
        <w:t>What does the government have to say about automobile insurance? Is there help for picking the right insurance company?</w:t>
      </w:r>
    </w:p>
    <w:tbl>
      <w:tblPr>
        <w:tblStyle w:val="afffff2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053B4B4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D7D5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3F16DD4C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6B347B0F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5761CF1B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5E5324EF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36BCD4C5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</w:tbl>
    <w:p w14:paraId="4EC3C818" w14:textId="77777777" w:rsidR="002A1073" w:rsidRDefault="002A1073">
      <w:pPr>
        <w:rPr>
          <w:b/>
          <w:sz w:val="23"/>
          <w:szCs w:val="23"/>
          <w:highlight w:val="white"/>
        </w:rPr>
      </w:pPr>
    </w:p>
    <w:p w14:paraId="47E030BD" w14:textId="77777777" w:rsidR="002A1073" w:rsidRDefault="001E2FDB">
      <w:p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During the Reading with Newspapers in Education:</w:t>
      </w:r>
    </w:p>
    <w:p w14:paraId="7EBA8B56" w14:textId="02D7BBD6" w:rsidR="002A1073" w:rsidRDefault="001E2FDB">
      <w:pPr>
        <w:numPr>
          <w:ilvl w:val="0"/>
          <w:numId w:val="5"/>
        </w:numPr>
        <w:rPr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 xml:space="preserve">Read the attached article about gender and car insurance rates. </w:t>
      </w:r>
      <w:r w:rsidR="00B30311">
        <w:rPr>
          <w:i/>
          <w:sz w:val="23"/>
          <w:szCs w:val="23"/>
          <w:highlight w:val="white"/>
        </w:rPr>
        <w:t>What do you think</w:t>
      </w:r>
      <w:r>
        <w:rPr>
          <w:i/>
          <w:sz w:val="23"/>
          <w:szCs w:val="23"/>
          <w:highlight w:val="white"/>
        </w:rPr>
        <w:t xml:space="preserve">? </w:t>
      </w:r>
    </w:p>
    <w:tbl>
      <w:tblPr>
        <w:tblStyle w:val="afffff3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1073" w14:paraId="33B323A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069C9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3A67347D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24556B8A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7C0B5596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59DF4E22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66C544E4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38F0D72A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  <w:p w14:paraId="0A7B3529" w14:textId="77777777" w:rsidR="002A1073" w:rsidRDefault="002A1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  <w:highlight w:val="white"/>
              </w:rPr>
            </w:pPr>
          </w:p>
        </w:tc>
      </w:tr>
    </w:tbl>
    <w:p w14:paraId="7A6AF176" w14:textId="77777777" w:rsidR="002A1073" w:rsidRDefault="002A1073">
      <w:pPr>
        <w:ind w:left="720"/>
        <w:rPr>
          <w:b/>
          <w:sz w:val="23"/>
          <w:szCs w:val="23"/>
          <w:highlight w:val="white"/>
        </w:rPr>
      </w:pPr>
    </w:p>
    <w:p w14:paraId="2C5A5909" w14:textId="77777777" w:rsidR="002A1073" w:rsidRDefault="002A1073">
      <w:pPr>
        <w:ind w:left="720"/>
        <w:rPr>
          <w:b/>
          <w:sz w:val="23"/>
          <w:szCs w:val="23"/>
          <w:highlight w:val="white"/>
        </w:rPr>
      </w:pPr>
      <w:bookmarkStart w:id="0" w:name="_GoBack"/>
      <w:bookmarkEnd w:id="0"/>
    </w:p>
    <w:p w14:paraId="21167F32" w14:textId="77777777" w:rsidR="002A1073" w:rsidRDefault="001E2FDB">
      <w:pPr>
        <w:numPr>
          <w:ilvl w:val="0"/>
          <w:numId w:val="5"/>
        </w:numPr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Protect yourself.</w:t>
      </w:r>
      <w:r>
        <w:rPr>
          <w:sz w:val="23"/>
          <w:szCs w:val="23"/>
          <w:highlight w:val="white"/>
        </w:rPr>
        <w:t xml:space="preserve"> </w:t>
      </w:r>
      <w:r>
        <w:rPr>
          <w:i/>
          <w:sz w:val="23"/>
          <w:szCs w:val="23"/>
          <w:highlight w:val="white"/>
        </w:rPr>
        <w:t xml:space="preserve">What can you do to not be as risky to your insurance company? How soon can you implement these choices into your lifestyle? </w:t>
      </w:r>
    </w:p>
    <w:p w14:paraId="771A5B3B" w14:textId="77777777" w:rsidR="002A1073" w:rsidRDefault="002A1073">
      <w:pPr>
        <w:rPr>
          <w:sz w:val="23"/>
          <w:szCs w:val="23"/>
          <w:highlight w:val="white"/>
        </w:rPr>
      </w:pPr>
    </w:p>
    <w:p w14:paraId="492ADDDE" w14:textId="77777777" w:rsidR="002A1073" w:rsidRDefault="002A1073">
      <w:pPr>
        <w:rPr>
          <w:b/>
          <w:sz w:val="23"/>
          <w:szCs w:val="23"/>
          <w:highlight w:val="white"/>
        </w:rPr>
      </w:pPr>
    </w:p>
    <w:p w14:paraId="0C8E7C2C" w14:textId="77777777" w:rsidR="002A1073" w:rsidRDefault="001E2FDB">
      <w:pPr>
        <w:rPr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  <w:u w:val="single"/>
        </w:rPr>
        <w:t>Extension</w:t>
      </w:r>
      <w:r>
        <w:rPr>
          <w:b/>
          <w:sz w:val="23"/>
          <w:szCs w:val="23"/>
          <w:highlight w:val="white"/>
        </w:rPr>
        <w:t xml:space="preserve">: </w:t>
      </w:r>
      <w:r>
        <w:rPr>
          <w:sz w:val="23"/>
          <w:szCs w:val="23"/>
          <w:highlight w:val="white"/>
        </w:rPr>
        <w:t xml:space="preserve"> Draw a cartoon strip with at least 5 bubbles. Write about car insurance and illuminate what is important to the consumer.</w:t>
      </w:r>
    </w:p>
    <w:p w14:paraId="513E5463" w14:textId="77777777" w:rsidR="002A1073" w:rsidRDefault="002A1073">
      <w:pPr>
        <w:ind w:left="720"/>
        <w:rPr>
          <w:sz w:val="23"/>
          <w:szCs w:val="23"/>
          <w:highlight w:val="white"/>
        </w:rPr>
      </w:pPr>
    </w:p>
    <w:p w14:paraId="5F3840D7" w14:textId="77777777" w:rsidR="002A1073" w:rsidRDefault="002A1073">
      <w:pPr>
        <w:rPr>
          <w:b/>
          <w:color w:val="2D2D2D"/>
          <w:sz w:val="23"/>
          <w:szCs w:val="23"/>
          <w:highlight w:val="white"/>
        </w:rPr>
      </w:pPr>
    </w:p>
    <w:p w14:paraId="0C1C6102" w14:textId="77777777" w:rsidR="002A1073" w:rsidRDefault="002A1073">
      <w:pPr>
        <w:shd w:val="clear" w:color="auto" w:fill="FFFFFF"/>
        <w:spacing w:after="220"/>
        <w:rPr>
          <w:b/>
          <w:sz w:val="23"/>
          <w:szCs w:val="23"/>
        </w:rPr>
      </w:pPr>
    </w:p>
    <w:sectPr w:rsidR="002A1073">
      <w:type w:val="continuous"/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E0A20" w14:textId="77777777" w:rsidR="00077E2F" w:rsidRDefault="00077E2F">
      <w:pPr>
        <w:spacing w:line="240" w:lineRule="auto"/>
      </w:pPr>
      <w:r>
        <w:separator/>
      </w:r>
    </w:p>
  </w:endnote>
  <w:endnote w:type="continuationSeparator" w:id="0">
    <w:p w14:paraId="6E2FDFCB" w14:textId="77777777" w:rsidR="00077E2F" w:rsidRDefault="00077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E3C2C" w14:textId="77777777" w:rsidR="00077E2F" w:rsidRDefault="00077E2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5F7E7" w14:textId="77777777" w:rsidR="00077E2F" w:rsidRDefault="00077E2F">
      <w:pPr>
        <w:spacing w:line="240" w:lineRule="auto"/>
      </w:pPr>
      <w:r>
        <w:separator/>
      </w:r>
    </w:p>
  </w:footnote>
  <w:footnote w:type="continuationSeparator" w:id="0">
    <w:p w14:paraId="100B3680" w14:textId="77777777" w:rsidR="00077E2F" w:rsidRDefault="00077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DFC34" w14:textId="77777777" w:rsidR="00077E2F" w:rsidRDefault="00077E2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8EB"/>
    <w:multiLevelType w:val="multilevel"/>
    <w:tmpl w:val="28A80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644E23"/>
    <w:multiLevelType w:val="multilevel"/>
    <w:tmpl w:val="9E8E41E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BA577A6"/>
    <w:multiLevelType w:val="multilevel"/>
    <w:tmpl w:val="E14A7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2CE0E32"/>
    <w:multiLevelType w:val="multilevel"/>
    <w:tmpl w:val="ADF2C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3E276EB"/>
    <w:multiLevelType w:val="multilevel"/>
    <w:tmpl w:val="BD82D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8412DD4"/>
    <w:multiLevelType w:val="multilevel"/>
    <w:tmpl w:val="A498F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0FA4917"/>
    <w:multiLevelType w:val="multilevel"/>
    <w:tmpl w:val="5F665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816027C"/>
    <w:multiLevelType w:val="multilevel"/>
    <w:tmpl w:val="1F14A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82B4053"/>
    <w:multiLevelType w:val="multilevel"/>
    <w:tmpl w:val="D5B2B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D1A6EC0"/>
    <w:multiLevelType w:val="multilevel"/>
    <w:tmpl w:val="F45CF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2FC3178"/>
    <w:multiLevelType w:val="multilevel"/>
    <w:tmpl w:val="22E4F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5320075"/>
    <w:multiLevelType w:val="multilevel"/>
    <w:tmpl w:val="5B125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8252160"/>
    <w:multiLevelType w:val="multilevel"/>
    <w:tmpl w:val="4782D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03D6E2F"/>
    <w:multiLevelType w:val="multilevel"/>
    <w:tmpl w:val="8C1C8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59F02F2"/>
    <w:multiLevelType w:val="multilevel"/>
    <w:tmpl w:val="7D48A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A9D1009"/>
    <w:multiLevelType w:val="multilevel"/>
    <w:tmpl w:val="CAE2C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F055C62"/>
    <w:multiLevelType w:val="multilevel"/>
    <w:tmpl w:val="F15CE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2D11267"/>
    <w:multiLevelType w:val="multilevel"/>
    <w:tmpl w:val="6C22E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B5C4BCF"/>
    <w:multiLevelType w:val="multilevel"/>
    <w:tmpl w:val="158AA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7B9D18BD"/>
    <w:multiLevelType w:val="multilevel"/>
    <w:tmpl w:val="86666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BC50BFD"/>
    <w:multiLevelType w:val="multilevel"/>
    <w:tmpl w:val="24AC2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CF5231A"/>
    <w:multiLevelType w:val="multilevel"/>
    <w:tmpl w:val="AA1C9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5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21"/>
  </w:num>
  <w:num w:numId="16">
    <w:abstractNumId w:val="16"/>
  </w:num>
  <w:num w:numId="17">
    <w:abstractNumId w:val="11"/>
  </w:num>
  <w:num w:numId="18">
    <w:abstractNumId w:val="18"/>
  </w:num>
  <w:num w:numId="19">
    <w:abstractNumId w:val="4"/>
  </w:num>
  <w:num w:numId="20">
    <w:abstractNumId w:val="2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73"/>
    <w:rsid w:val="00075E29"/>
    <w:rsid w:val="00077E2F"/>
    <w:rsid w:val="000951E0"/>
    <w:rsid w:val="001A70AB"/>
    <w:rsid w:val="001E2FDB"/>
    <w:rsid w:val="001F7C04"/>
    <w:rsid w:val="00210BB0"/>
    <w:rsid w:val="002A1073"/>
    <w:rsid w:val="003B4112"/>
    <w:rsid w:val="004152AB"/>
    <w:rsid w:val="0054557F"/>
    <w:rsid w:val="00626F41"/>
    <w:rsid w:val="007435AA"/>
    <w:rsid w:val="008441C0"/>
    <w:rsid w:val="00A701A4"/>
    <w:rsid w:val="00B30311"/>
    <w:rsid w:val="00C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F5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077E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77E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7E2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077E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77E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7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1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9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1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vestopedia.com/terms/a/auto-insurance.as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www.ii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2399</Characters>
  <Application>Microsoft Macintosh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Information Technology</cp:lastModifiedBy>
  <cp:revision>2</cp:revision>
  <dcterms:created xsi:type="dcterms:W3CDTF">2020-03-21T14:57:00Z</dcterms:created>
  <dcterms:modified xsi:type="dcterms:W3CDTF">2020-03-21T14:57:00Z</dcterms:modified>
</cp:coreProperties>
</file>