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56" w:type="dxa"/>
        <w:tblLayout w:type="fixed"/>
        <w:tblLook w:val="04A0" w:firstRow="1" w:lastRow="0" w:firstColumn="1" w:lastColumn="0" w:noHBand="0" w:noVBand="1"/>
      </w:tblPr>
      <w:tblGrid>
        <w:gridCol w:w="1075"/>
        <w:gridCol w:w="3420"/>
        <w:gridCol w:w="3353"/>
        <w:gridCol w:w="1008"/>
      </w:tblGrid>
      <w:tr w:rsidR="00EB405A" w:rsidRPr="000F28BE" w14:paraId="54836713" w14:textId="77777777" w:rsidTr="00881527">
        <w:tc>
          <w:tcPr>
            <w:tcW w:w="1075" w:type="dxa"/>
          </w:tcPr>
          <w:p w14:paraId="09C5A8F2" w14:textId="77777777" w:rsidR="00EB405A" w:rsidRPr="006D538B" w:rsidRDefault="00EB405A">
            <w:pPr>
              <w:rPr>
                <w:rFonts w:ascii="Arial" w:hAnsi="Arial" w:cs="Arial"/>
                <w:b/>
                <w:sz w:val="18"/>
                <w:szCs w:val="18"/>
              </w:rPr>
            </w:pPr>
            <w:r w:rsidRPr="006D538B">
              <w:rPr>
                <w:rFonts w:ascii="Arial" w:hAnsi="Arial" w:cs="Arial"/>
                <w:b/>
                <w:sz w:val="18"/>
                <w:szCs w:val="18"/>
              </w:rPr>
              <w:t>Standard</w:t>
            </w:r>
          </w:p>
        </w:tc>
        <w:tc>
          <w:tcPr>
            <w:tcW w:w="342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353"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EB405A" w:rsidRPr="000F28BE" w14:paraId="44A8FFF0" w14:textId="77777777" w:rsidTr="00881527">
        <w:tc>
          <w:tcPr>
            <w:tcW w:w="1075" w:type="dxa"/>
          </w:tcPr>
          <w:p w14:paraId="37AD4D48" w14:textId="77777777" w:rsidR="00541BFC" w:rsidRPr="000F28BE" w:rsidRDefault="00541BFC" w:rsidP="00541BFC">
            <w:pPr>
              <w:rPr>
                <w:rFonts w:ascii="Arial" w:eastAsia="Times New Roman" w:hAnsi="Arial" w:cs="Arial"/>
                <w:color w:val="5EB3FF"/>
                <w:sz w:val="20"/>
                <w:szCs w:val="20"/>
                <w:shd w:val="clear" w:color="auto" w:fill="FFFFFF"/>
              </w:rPr>
            </w:pPr>
            <w:r w:rsidRPr="000F28BE">
              <w:rPr>
                <w:rFonts w:ascii="Arial" w:hAnsi="Arial" w:cs="Arial"/>
                <w:sz w:val="20"/>
                <w:szCs w:val="20"/>
              </w:rPr>
              <w:t xml:space="preserve">Saving </w:t>
            </w:r>
            <w:r w:rsidRPr="000F28BE">
              <w:rPr>
                <w:rFonts w:ascii="Arial" w:eastAsia="Times New Roman" w:hAnsi="Arial" w:cs="Arial"/>
                <w:color w:val="5EB3FF"/>
                <w:sz w:val="20"/>
                <w:szCs w:val="20"/>
                <w:shd w:val="clear" w:color="auto" w:fill="FFFFFF"/>
              </w:rPr>
              <w:t>SS.912.FL.3</w:t>
            </w:r>
          </w:p>
          <w:p w14:paraId="08A1F7AD" w14:textId="77777777" w:rsidR="0050534A" w:rsidRPr="000F28BE" w:rsidRDefault="0050534A" w:rsidP="00541BFC">
            <w:pPr>
              <w:rPr>
                <w:rFonts w:ascii="Arial" w:eastAsia="Times New Roman" w:hAnsi="Arial" w:cs="Arial"/>
                <w:sz w:val="20"/>
                <w:szCs w:val="20"/>
              </w:rPr>
            </w:pPr>
          </w:p>
          <w:p w14:paraId="0E7AA41E" w14:textId="48A76A4F" w:rsidR="00EB405A" w:rsidRPr="000F28BE" w:rsidRDefault="0050534A">
            <w:pPr>
              <w:rPr>
                <w:rFonts w:ascii="Arial" w:hAnsi="Arial" w:cs="Arial"/>
                <w:sz w:val="20"/>
                <w:szCs w:val="20"/>
              </w:rPr>
            </w:pPr>
            <w:r w:rsidRPr="000F28BE">
              <w:rPr>
                <w:rFonts w:ascii="Arial" w:hAnsi="Arial" w:cs="Arial"/>
                <w:sz w:val="20"/>
                <w:szCs w:val="20"/>
              </w:rPr>
              <w:t>Ch. 2</w:t>
            </w:r>
          </w:p>
        </w:tc>
        <w:tc>
          <w:tcPr>
            <w:tcW w:w="3420" w:type="dxa"/>
          </w:tcPr>
          <w:p w14:paraId="11F6C807" w14:textId="77777777" w:rsidR="00EB405A" w:rsidRPr="000F28BE" w:rsidRDefault="00881527">
            <w:pPr>
              <w:rPr>
                <w:rFonts w:ascii="Arial" w:eastAsia="Times New Roman" w:hAnsi="Arial" w:cs="Arial"/>
                <w:sz w:val="20"/>
                <w:szCs w:val="20"/>
              </w:rPr>
            </w:pPr>
            <w:hyperlink r:id="rId4" w:history="1">
              <w:r w:rsidR="00541BFC" w:rsidRPr="000F28BE">
                <w:rPr>
                  <w:rFonts w:ascii="Arial" w:eastAsia="Times New Roman" w:hAnsi="Arial" w:cs="Arial"/>
                  <w:color w:val="5EB3FF"/>
                  <w:sz w:val="20"/>
                  <w:szCs w:val="20"/>
                  <w:shd w:val="clear" w:color="auto" w:fill="FFFFFF"/>
                </w:rPr>
                <w:t>SS.912.FL.3.1:</w:t>
              </w:r>
            </w:hyperlink>
            <w:r w:rsidR="00541BFC" w:rsidRPr="000F28BE">
              <w:rPr>
                <w:rFonts w:ascii="Arial" w:eastAsia="Times New Roman" w:hAnsi="Arial" w:cs="Arial"/>
                <w:color w:val="797979"/>
                <w:sz w:val="20"/>
                <w:szCs w:val="20"/>
                <w:shd w:val="clear" w:color="auto" w:fill="FFFFFF"/>
              </w:rPr>
              <w:t>Discuss the reasons why some people have a tendency to be impatient and choose immediate spending over saving for the future.</w:t>
            </w:r>
          </w:p>
        </w:tc>
        <w:tc>
          <w:tcPr>
            <w:tcW w:w="3353" w:type="dxa"/>
          </w:tcPr>
          <w:p w14:paraId="43645FB4" w14:textId="77777777" w:rsidR="00EB405A" w:rsidRPr="000F28BE" w:rsidRDefault="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instances in their lives where they decided to buy something immediately and then wished they had instead saved the money for future purchases.</w:t>
            </w:r>
          </w:p>
        </w:tc>
        <w:tc>
          <w:tcPr>
            <w:tcW w:w="1008" w:type="dxa"/>
          </w:tcPr>
          <w:p w14:paraId="7CB847D7" w14:textId="59A636F5" w:rsidR="00EB405A" w:rsidRPr="000F28BE" w:rsidRDefault="0050534A">
            <w:pPr>
              <w:rPr>
                <w:rFonts w:ascii="Arial" w:hAnsi="Arial" w:cs="Arial"/>
                <w:sz w:val="20"/>
                <w:szCs w:val="20"/>
              </w:rPr>
            </w:pPr>
            <w:r w:rsidRPr="000F28BE">
              <w:rPr>
                <w:rFonts w:ascii="Arial" w:hAnsi="Arial" w:cs="Arial"/>
                <w:sz w:val="20"/>
                <w:szCs w:val="20"/>
              </w:rPr>
              <w:t>Ch. 2</w:t>
            </w:r>
          </w:p>
        </w:tc>
      </w:tr>
      <w:tr w:rsidR="00EB405A" w:rsidRPr="000F28BE" w14:paraId="4D3649D2" w14:textId="77777777" w:rsidTr="00881527">
        <w:tc>
          <w:tcPr>
            <w:tcW w:w="1075" w:type="dxa"/>
          </w:tcPr>
          <w:p w14:paraId="226F6558" w14:textId="77777777" w:rsidR="00EB405A" w:rsidRPr="000F28BE" w:rsidRDefault="00EB405A">
            <w:pPr>
              <w:rPr>
                <w:rFonts w:ascii="Arial" w:hAnsi="Arial" w:cs="Arial"/>
                <w:sz w:val="20"/>
                <w:szCs w:val="20"/>
              </w:rPr>
            </w:pPr>
          </w:p>
        </w:tc>
        <w:tc>
          <w:tcPr>
            <w:tcW w:w="3420" w:type="dxa"/>
          </w:tcPr>
          <w:p w14:paraId="268F9B91" w14:textId="77777777" w:rsidR="00EB405A" w:rsidRPr="000F28BE" w:rsidRDefault="00881527">
            <w:pPr>
              <w:rPr>
                <w:rFonts w:ascii="Arial" w:eastAsia="Times New Roman" w:hAnsi="Arial" w:cs="Arial"/>
                <w:sz w:val="20"/>
                <w:szCs w:val="20"/>
              </w:rPr>
            </w:pPr>
            <w:hyperlink r:id="rId5" w:history="1">
              <w:r w:rsidR="00541BFC" w:rsidRPr="000F28BE">
                <w:rPr>
                  <w:rFonts w:ascii="Arial" w:eastAsia="Times New Roman" w:hAnsi="Arial" w:cs="Arial"/>
                  <w:color w:val="5EB3FF"/>
                  <w:sz w:val="20"/>
                  <w:szCs w:val="20"/>
                  <w:shd w:val="clear" w:color="auto" w:fill="FFFFFF"/>
                </w:rPr>
                <w:t>SS.912.FL.3.2:</w:t>
              </w:r>
            </w:hyperlink>
            <w:r w:rsidR="00541BFC" w:rsidRPr="000F28BE">
              <w:rPr>
                <w:rFonts w:ascii="Arial" w:eastAsia="Times New Roman" w:hAnsi="Arial" w:cs="Arial"/>
                <w:color w:val="797979"/>
                <w:sz w:val="20"/>
                <w:szCs w:val="20"/>
                <w:shd w:val="clear" w:color="auto" w:fill="FFFFFF"/>
              </w:rPr>
              <w:t>Examine the ideas that inflation reduces the value of money, including savings, that the real interest rate expresses the rate of return on savings, taking into account the effect of inflation and that the real interest rate is calculated as the nominal interest rate  minus the rate of inflation.</w:t>
            </w:r>
          </w:p>
        </w:tc>
        <w:tc>
          <w:tcPr>
            <w:tcW w:w="3353" w:type="dxa"/>
          </w:tcPr>
          <w:p w14:paraId="6E4FBECC"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savers expect a higher nominal interest rate when inflation is expected to be high.</w:t>
            </w:r>
          </w:p>
          <w:p w14:paraId="04579000" w14:textId="77777777" w:rsidR="00EB405A" w:rsidRPr="000F28BE" w:rsidRDefault="00EB405A">
            <w:pPr>
              <w:rPr>
                <w:rFonts w:ascii="Arial" w:hAnsi="Arial" w:cs="Arial"/>
                <w:sz w:val="20"/>
                <w:szCs w:val="20"/>
              </w:rPr>
            </w:pPr>
          </w:p>
        </w:tc>
        <w:tc>
          <w:tcPr>
            <w:tcW w:w="1008" w:type="dxa"/>
          </w:tcPr>
          <w:p w14:paraId="2E3BF517" w14:textId="77777777" w:rsidR="00EB405A" w:rsidRPr="000F28BE" w:rsidRDefault="00EB405A">
            <w:pPr>
              <w:rPr>
                <w:rFonts w:ascii="Arial" w:hAnsi="Arial" w:cs="Arial"/>
                <w:sz w:val="20"/>
                <w:szCs w:val="20"/>
              </w:rPr>
            </w:pPr>
          </w:p>
        </w:tc>
      </w:tr>
      <w:tr w:rsidR="00EB405A" w:rsidRPr="000F28BE" w14:paraId="252D6B2E" w14:textId="77777777" w:rsidTr="00881527">
        <w:tc>
          <w:tcPr>
            <w:tcW w:w="1075" w:type="dxa"/>
          </w:tcPr>
          <w:p w14:paraId="36BAEEA8" w14:textId="77777777" w:rsidR="00EB405A" w:rsidRPr="000F28BE" w:rsidRDefault="00EB405A">
            <w:pPr>
              <w:rPr>
                <w:rFonts w:ascii="Arial" w:hAnsi="Arial" w:cs="Arial"/>
                <w:sz w:val="20"/>
                <w:szCs w:val="20"/>
              </w:rPr>
            </w:pPr>
          </w:p>
        </w:tc>
        <w:tc>
          <w:tcPr>
            <w:tcW w:w="3420" w:type="dxa"/>
          </w:tcPr>
          <w:p w14:paraId="3C62760D" w14:textId="77777777" w:rsidR="00EB405A" w:rsidRPr="000F28BE" w:rsidRDefault="00881527">
            <w:pPr>
              <w:rPr>
                <w:rFonts w:ascii="Arial" w:eastAsia="Times New Roman" w:hAnsi="Arial" w:cs="Arial"/>
                <w:sz w:val="20"/>
                <w:szCs w:val="20"/>
              </w:rPr>
            </w:pPr>
            <w:hyperlink r:id="rId6" w:history="1">
              <w:r w:rsidR="00541BFC" w:rsidRPr="000F28BE">
                <w:rPr>
                  <w:rFonts w:ascii="Arial" w:eastAsia="Times New Roman" w:hAnsi="Arial" w:cs="Arial"/>
                  <w:color w:val="5EB3FF"/>
                  <w:sz w:val="20"/>
                  <w:szCs w:val="20"/>
                  <w:shd w:val="clear" w:color="auto" w:fill="FFFFFF"/>
                </w:rPr>
                <w:t>SS.912.FL.3.3:</w:t>
              </w:r>
            </w:hyperlink>
            <w:r w:rsidR="00541BFC" w:rsidRPr="000F28BE">
              <w:rPr>
                <w:rFonts w:ascii="Arial" w:eastAsia="Times New Roman" w:hAnsi="Arial" w:cs="Arial"/>
                <w:color w:val="797979"/>
                <w:sz w:val="20"/>
                <w:szCs w:val="20"/>
                <w:shd w:val="clear" w:color="auto" w:fill="FFFFFF"/>
              </w:rPr>
              <w:t>Compare the difference between the nominal interest rate which tells savers how the dollar value of their savings or investments will grow, and the real interest rate which tells savers how the purchasing power of their savings or investments will grow.</w:t>
            </w:r>
          </w:p>
        </w:tc>
        <w:tc>
          <w:tcPr>
            <w:tcW w:w="3353" w:type="dxa"/>
          </w:tcPr>
          <w:p w14:paraId="2857B474"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the nominal interest rate and the rate of inflation over the course of one year, explain what will happen to the purchasing power of savings</w:t>
            </w:r>
          </w:p>
          <w:p w14:paraId="47B296EA" w14:textId="77777777" w:rsidR="00EB405A" w:rsidRPr="000F28BE" w:rsidRDefault="00EB405A">
            <w:pPr>
              <w:rPr>
                <w:rFonts w:ascii="Arial" w:hAnsi="Arial" w:cs="Arial"/>
                <w:sz w:val="20"/>
                <w:szCs w:val="20"/>
              </w:rPr>
            </w:pPr>
          </w:p>
        </w:tc>
        <w:tc>
          <w:tcPr>
            <w:tcW w:w="1008" w:type="dxa"/>
          </w:tcPr>
          <w:p w14:paraId="29546181" w14:textId="77777777" w:rsidR="00EB405A" w:rsidRPr="000F28BE" w:rsidRDefault="00EB405A">
            <w:pPr>
              <w:rPr>
                <w:rFonts w:ascii="Arial" w:hAnsi="Arial" w:cs="Arial"/>
                <w:sz w:val="20"/>
                <w:szCs w:val="20"/>
              </w:rPr>
            </w:pPr>
          </w:p>
        </w:tc>
      </w:tr>
      <w:tr w:rsidR="00EB405A" w:rsidRPr="000F28BE" w14:paraId="110D064E" w14:textId="77777777" w:rsidTr="00881527">
        <w:tc>
          <w:tcPr>
            <w:tcW w:w="1075" w:type="dxa"/>
          </w:tcPr>
          <w:p w14:paraId="5A758AF7" w14:textId="77777777" w:rsidR="00EB405A" w:rsidRPr="000F28BE" w:rsidRDefault="00EB405A">
            <w:pPr>
              <w:rPr>
                <w:rFonts w:ascii="Arial" w:hAnsi="Arial" w:cs="Arial"/>
                <w:sz w:val="20"/>
                <w:szCs w:val="20"/>
              </w:rPr>
            </w:pPr>
          </w:p>
        </w:tc>
        <w:tc>
          <w:tcPr>
            <w:tcW w:w="3420" w:type="dxa"/>
          </w:tcPr>
          <w:p w14:paraId="6A611BF7" w14:textId="77777777" w:rsidR="00EB405A" w:rsidRPr="000F28BE" w:rsidRDefault="00881527">
            <w:pPr>
              <w:rPr>
                <w:rFonts w:ascii="Arial" w:eastAsia="Times New Roman" w:hAnsi="Arial" w:cs="Arial"/>
                <w:sz w:val="20"/>
                <w:szCs w:val="20"/>
              </w:rPr>
            </w:pPr>
            <w:hyperlink r:id="rId7" w:history="1">
              <w:r w:rsidR="00541BFC" w:rsidRPr="000F28BE">
                <w:rPr>
                  <w:rFonts w:ascii="Arial" w:eastAsia="Times New Roman" w:hAnsi="Arial" w:cs="Arial"/>
                  <w:color w:val="5EB3FF"/>
                  <w:sz w:val="20"/>
                  <w:szCs w:val="20"/>
                  <w:shd w:val="clear" w:color="auto" w:fill="FFFFFF"/>
                </w:rPr>
                <w:t>SS.912.FL.3.4:</w:t>
              </w:r>
            </w:hyperlink>
            <w:r w:rsidR="00541BFC" w:rsidRPr="000F28BE">
              <w:rPr>
                <w:rFonts w:ascii="Arial" w:eastAsia="Times New Roman" w:hAnsi="Arial" w:cs="Arial"/>
                <w:color w:val="797979"/>
                <w:sz w:val="20"/>
                <w:szCs w:val="20"/>
                <w:shd w:val="clear" w:color="auto" w:fill="FFFFFF"/>
              </w:rPr>
              <w:t>Describe ways that money received (or paid) in the future can be compared to money held today by discounting the future value based on the rate of interest.</w:t>
            </w:r>
          </w:p>
        </w:tc>
        <w:tc>
          <w:tcPr>
            <w:tcW w:w="3353" w:type="dxa"/>
          </w:tcPr>
          <w:p w14:paraId="2A7AC4B3" w14:textId="77777777" w:rsidR="00EB405A" w:rsidRPr="000F28BE" w:rsidRDefault="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Use spreadsheet software to calculate the amount a 10-year-old would need to save today in order to pay for one year of college tuition eight years from now.</w:t>
            </w:r>
          </w:p>
        </w:tc>
        <w:tc>
          <w:tcPr>
            <w:tcW w:w="1008" w:type="dxa"/>
          </w:tcPr>
          <w:p w14:paraId="42D8C511" w14:textId="3CAABA22" w:rsidR="00EB405A" w:rsidRPr="000F28BE" w:rsidRDefault="0050534A">
            <w:pPr>
              <w:rPr>
                <w:rFonts w:ascii="Arial" w:hAnsi="Arial" w:cs="Arial"/>
                <w:sz w:val="20"/>
                <w:szCs w:val="20"/>
              </w:rPr>
            </w:pPr>
            <w:r w:rsidRPr="000F28BE">
              <w:rPr>
                <w:rFonts w:ascii="Arial" w:hAnsi="Arial" w:cs="Arial"/>
                <w:sz w:val="20"/>
                <w:szCs w:val="20"/>
              </w:rPr>
              <w:t>Ch 2</w:t>
            </w:r>
          </w:p>
        </w:tc>
      </w:tr>
      <w:tr w:rsidR="00EB405A" w:rsidRPr="000F28BE" w14:paraId="78678724" w14:textId="77777777" w:rsidTr="00881527">
        <w:tc>
          <w:tcPr>
            <w:tcW w:w="1075" w:type="dxa"/>
          </w:tcPr>
          <w:p w14:paraId="3BB78BBE" w14:textId="77777777" w:rsidR="00EB405A" w:rsidRPr="000F28BE" w:rsidRDefault="00EB405A">
            <w:pPr>
              <w:rPr>
                <w:rFonts w:ascii="Arial" w:hAnsi="Arial" w:cs="Arial"/>
                <w:sz w:val="20"/>
                <w:szCs w:val="20"/>
              </w:rPr>
            </w:pPr>
          </w:p>
        </w:tc>
        <w:tc>
          <w:tcPr>
            <w:tcW w:w="3420" w:type="dxa"/>
          </w:tcPr>
          <w:p w14:paraId="0B78D4B7" w14:textId="77777777" w:rsidR="00EB405A" w:rsidRPr="000F28BE" w:rsidRDefault="00881527">
            <w:pPr>
              <w:rPr>
                <w:rFonts w:ascii="Arial" w:eastAsia="Times New Roman" w:hAnsi="Arial" w:cs="Arial"/>
                <w:sz w:val="20"/>
                <w:szCs w:val="20"/>
              </w:rPr>
            </w:pPr>
            <w:hyperlink r:id="rId8" w:history="1">
              <w:r w:rsidR="00541BFC" w:rsidRPr="000F28BE">
                <w:rPr>
                  <w:rFonts w:ascii="Arial" w:eastAsia="Times New Roman" w:hAnsi="Arial" w:cs="Arial"/>
                  <w:color w:val="5EB3FF"/>
                  <w:sz w:val="20"/>
                  <w:szCs w:val="20"/>
                  <w:shd w:val="clear" w:color="auto" w:fill="FFFFFF"/>
                </w:rPr>
                <w:t>SS.912.FL.3.5:</w:t>
              </w:r>
            </w:hyperlink>
            <w:r w:rsidR="00541BFC" w:rsidRPr="000F28BE">
              <w:rPr>
                <w:rFonts w:ascii="Arial" w:eastAsia="Times New Roman" w:hAnsi="Arial" w:cs="Arial"/>
                <w:color w:val="797979"/>
                <w:sz w:val="20"/>
                <w:szCs w:val="20"/>
                <w:shd w:val="clear" w:color="auto" w:fill="FFFFFF"/>
              </w:rPr>
              <w:t>Explain ways that government agencies supervise and regulate financial institutions to help protect the safety, soundness, and legal compliance of the nation’s banking and financial system.</w:t>
            </w:r>
          </w:p>
        </w:tc>
        <w:tc>
          <w:tcPr>
            <w:tcW w:w="3353" w:type="dxa"/>
          </w:tcPr>
          <w:p w14:paraId="4DF8343D" w14:textId="54FC4CD6" w:rsidR="00EB405A" w:rsidRPr="000F28BE" w:rsidRDefault="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the role that government agencies charged with regulating financial institutions play in helping to protect the safety, soundness, and legal compliance of the nation’s banking system. These agencies include the Federal Reserve System, the Office of the Comptroller of the Currency, the Consumer Financial Protection Bureau, the FDIC, and state banking departments.</w:t>
            </w:r>
          </w:p>
        </w:tc>
        <w:tc>
          <w:tcPr>
            <w:tcW w:w="1008" w:type="dxa"/>
          </w:tcPr>
          <w:p w14:paraId="45F8E49F" w14:textId="7CB3823D" w:rsidR="00EB405A" w:rsidRPr="000F28BE" w:rsidRDefault="0050534A">
            <w:pPr>
              <w:rPr>
                <w:rFonts w:ascii="Arial" w:hAnsi="Arial" w:cs="Arial"/>
                <w:sz w:val="20"/>
                <w:szCs w:val="20"/>
              </w:rPr>
            </w:pPr>
            <w:r w:rsidRPr="000F28BE">
              <w:rPr>
                <w:rFonts w:ascii="Arial" w:hAnsi="Arial" w:cs="Arial"/>
                <w:sz w:val="20"/>
                <w:szCs w:val="20"/>
              </w:rPr>
              <w:t>Ch. 2</w:t>
            </w:r>
          </w:p>
        </w:tc>
      </w:tr>
      <w:tr w:rsidR="00541BFC" w:rsidRPr="000F28BE" w14:paraId="76975FA6" w14:textId="77777777" w:rsidTr="00881527">
        <w:tc>
          <w:tcPr>
            <w:tcW w:w="1075" w:type="dxa"/>
          </w:tcPr>
          <w:p w14:paraId="36B8790C" w14:textId="77777777" w:rsidR="00541BFC" w:rsidRPr="000F28BE" w:rsidRDefault="00541BFC">
            <w:pPr>
              <w:rPr>
                <w:rFonts w:ascii="Arial" w:hAnsi="Arial" w:cs="Arial"/>
                <w:sz w:val="20"/>
                <w:szCs w:val="20"/>
              </w:rPr>
            </w:pPr>
          </w:p>
        </w:tc>
        <w:tc>
          <w:tcPr>
            <w:tcW w:w="3420" w:type="dxa"/>
          </w:tcPr>
          <w:p w14:paraId="5E089CB2" w14:textId="77777777" w:rsidR="00541BFC" w:rsidRPr="000F28BE" w:rsidRDefault="00881527">
            <w:pPr>
              <w:rPr>
                <w:rFonts w:ascii="Arial" w:eastAsia="Times New Roman" w:hAnsi="Arial" w:cs="Arial"/>
                <w:sz w:val="20"/>
                <w:szCs w:val="20"/>
              </w:rPr>
            </w:pPr>
            <w:hyperlink r:id="rId9" w:history="1">
              <w:r w:rsidR="00541BFC" w:rsidRPr="000F28BE">
                <w:rPr>
                  <w:rFonts w:ascii="Arial" w:eastAsia="Times New Roman" w:hAnsi="Arial" w:cs="Arial"/>
                  <w:color w:val="5EB3FF"/>
                  <w:sz w:val="20"/>
                  <w:szCs w:val="20"/>
                  <w:shd w:val="clear" w:color="auto" w:fill="FFFFFF"/>
                </w:rPr>
                <w:t>SS.912.FL.3.6:</w:t>
              </w:r>
            </w:hyperlink>
            <w:r w:rsidR="00541BFC" w:rsidRPr="000F28BE">
              <w:rPr>
                <w:rFonts w:ascii="Arial" w:eastAsia="Times New Roman" w:hAnsi="Arial" w:cs="Arial"/>
                <w:color w:val="797979"/>
                <w:sz w:val="20"/>
                <w:szCs w:val="20"/>
                <w:shd w:val="clear" w:color="auto" w:fill="FFFFFF"/>
              </w:rPr>
              <w:t>Describe government policies that create incentives and disincentives for people to save.</w:t>
            </w:r>
          </w:p>
        </w:tc>
        <w:tc>
          <w:tcPr>
            <w:tcW w:w="3353" w:type="dxa"/>
          </w:tcPr>
          <w:p w14:paraId="0B70429E"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traditional IRAs (individual retirement accounts), Roth IRAs, and educational savings accounts provide incentives for people to save.</w:t>
            </w:r>
          </w:p>
        </w:tc>
        <w:tc>
          <w:tcPr>
            <w:tcW w:w="1008" w:type="dxa"/>
          </w:tcPr>
          <w:p w14:paraId="6CB854BA" w14:textId="77777777" w:rsidR="00541BFC" w:rsidRPr="000F28BE" w:rsidRDefault="00541BFC">
            <w:pPr>
              <w:rPr>
                <w:rFonts w:ascii="Arial" w:hAnsi="Arial" w:cs="Arial"/>
                <w:sz w:val="20"/>
                <w:szCs w:val="20"/>
              </w:rPr>
            </w:pPr>
          </w:p>
        </w:tc>
      </w:tr>
      <w:tr w:rsidR="00541BFC" w:rsidRPr="000F28BE" w14:paraId="60B0ABA8" w14:textId="77777777" w:rsidTr="00881527">
        <w:tc>
          <w:tcPr>
            <w:tcW w:w="1075" w:type="dxa"/>
          </w:tcPr>
          <w:p w14:paraId="283D5BB7" w14:textId="77777777" w:rsidR="00541BFC" w:rsidRPr="000F28BE" w:rsidRDefault="00541BFC">
            <w:pPr>
              <w:rPr>
                <w:rFonts w:ascii="Arial" w:hAnsi="Arial" w:cs="Arial"/>
                <w:sz w:val="20"/>
                <w:szCs w:val="20"/>
              </w:rPr>
            </w:pPr>
          </w:p>
        </w:tc>
        <w:tc>
          <w:tcPr>
            <w:tcW w:w="3420" w:type="dxa"/>
          </w:tcPr>
          <w:p w14:paraId="54F4516C" w14:textId="77777777" w:rsidR="00541BFC" w:rsidRPr="000F28BE" w:rsidRDefault="00881527">
            <w:pPr>
              <w:rPr>
                <w:rFonts w:ascii="Arial" w:eastAsia="Times New Roman" w:hAnsi="Arial" w:cs="Arial"/>
                <w:sz w:val="20"/>
                <w:szCs w:val="20"/>
              </w:rPr>
            </w:pPr>
            <w:hyperlink r:id="rId10" w:history="1">
              <w:r w:rsidR="00541BFC" w:rsidRPr="000F28BE">
                <w:rPr>
                  <w:rFonts w:ascii="Arial" w:eastAsia="Times New Roman" w:hAnsi="Arial" w:cs="Arial"/>
                  <w:color w:val="5EB3FF"/>
                  <w:sz w:val="20"/>
                  <w:szCs w:val="20"/>
                  <w:shd w:val="clear" w:color="auto" w:fill="FFFFFF"/>
                </w:rPr>
                <w:t>SS.912.FL.3.7:</w:t>
              </w:r>
            </w:hyperlink>
            <w:r w:rsidR="00541BFC" w:rsidRPr="000F28BE">
              <w:rPr>
                <w:rFonts w:ascii="Arial" w:eastAsia="Times New Roman" w:hAnsi="Arial" w:cs="Arial"/>
                <w:color w:val="797979"/>
                <w:sz w:val="20"/>
                <w:szCs w:val="20"/>
                <w:shd w:val="clear" w:color="auto" w:fill="FFFFFF"/>
              </w:rPr>
              <w:t>Explain how employer benefit programs create incentives and disincentives to save and how an employee’s decision to save can depend on how the alternatives are presented by the employer.</w:t>
            </w:r>
          </w:p>
        </w:tc>
        <w:tc>
          <w:tcPr>
            <w:tcW w:w="3353" w:type="dxa"/>
          </w:tcPr>
          <w:p w14:paraId="3BE48330"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matches of retirement savings by employers substantially change the incentives for employees to save. Explain why having employees “opt out” of savings programs results in a higher level of saving than having them “opt in.”</w:t>
            </w:r>
          </w:p>
        </w:tc>
        <w:tc>
          <w:tcPr>
            <w:tcW w:w="1008" w:type="dxa"/>
          </w:tcPr>
          <w:p w14:paraId="488991F1" w14:textId="77777777" w:rsidR="00541BFC" w:rsidRPr="000F28BE" w:rsidRDefault="00541BFC">
            <w:pPr>
              <w:rPr>
                <w:rFonts w:ascii="Arial" w:hAnsi="Arial" w:cs="Arial"/>
                <w:sz w:val="20"/>
                <w:szCs w:val="20"/>
              </w:rPr>
            </w:pPr>
          </w:p>
        </w:tc>
      </w:tr>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A"/>
    <w:rsid w:val="000A1852"/>
    <w:rsid w:val="000F28BE"/>
    <w:rsid w:val="00232803"/>
    <w:rsid w:val="003329A0"/>
    <w:rsid w:val="003B584C"/>
    <w:rsid w:val="003E41C6"/>
    <w:rsid w:val="0050534A"/>
    <w:rsid w:val="00506A03"/>
    <w:rsid w:val="0052385A"/>
    <w:rsid w:val="00541BFC"/>
    <w:rsid w:val="005C38F6"/>
    <w:rsid w:val="005F1910"/>
    <w:rsid w:val="006D538B"/>
    <w:rsid w:val="007E6290"/>
    <w:rsid w:val="00881527"/>
    <w:rsid w:val="009907D8"/>
    <w:rsid w:val="00AD7AE2"/>
    <w:rsid w:val="00BB3F9D"/>
    <w:rsid w:val="00C751B1"/>
    <w:rsid w:val="00D86EAA"/>
    <w:rsid w:val="00E3277D"/>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70" TargetMode="External"/><Relationship Id="rId3" Type="http://schemas.openxmlformats.org/officeDocument/2006/relationships/webSettings" Target="webSettings.xml"/><Relationship Id="rId7" Type="http://schemas.openxmlformats.org/officeDocument/2006/relationships/hyperlink" Target="http://www.cpalms.org/Public/PreviewStandard/Preview/85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lms.org/Public/PreviewStandard/Preview/8568" TargetMode="External"/><Relationship Id="rId11" Type="http://schemas.openxmlformats.org/officeDocument/2006/relationships/fontTable" Target="fontTable.xml"/><Relationship Id="rId5" Type="http://schemas.openxmlformats.org/officeDocument/2006/relationships/hyperlink" Target="http://www.cpalms.org/Public/PreviewStandard/Preview/8567" TargetMode="External"/><Relationship Id="rId10" Type="http://schemas.openxmlformats.org/officeDocument/2006/relationships/hyperlink" Target="http://www.cpalms.org/Public/PreviewStandard/Preview/8572" TargetMode="External"/><Relationship Id="rId4" Type="http://schemas.openxmlformats.org/officeDocument/2006/relationships/hyperlink" Target="http://www.cpalms.org/Public/PreviewStandard/Preview/8566" TargetMode="External"/><Relationship Id="rId9" Type="http://schemas.openxmlformats.org/officeDocument/2006/relationships/hyperlink" Target="http://www.cpalms.org/Public/PreviewStandard/Preview/8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2850</Characters>
  <Application>Microsoft Office Word</Application>
  <DocSecurity>0</DocSecurity>
  <Lines>23</Lines>
  <Paragraphs>6</Paragraphs>
  <ScaleCrop>false</ScaleCrop>
  <Company>University of South Florida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2015-02-07T19:47:00Z</cp:lastPrinted>
  <dcterms:created xsi:type="dcterms:W3CDTF">2020-05-28T16:22:00Z</dcterms:created>
  <dcterms:modified xsi:type="dcterms:W3CDTF">2020-05-28T16:22:00Z</dcterms:modified>
</cp:coreProperties>
</file>